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8B15180" w14:textId="77777777" w:rsidR="00A715CC" w:rsidRPr="001D4FC6" w:rsidRDefault="00A715CC" w:rsidP="001D4FC6">
      <w:pPr>
        <w:jc w:val="center"/>
        <w:rPr>
          <w:rFonts w:ascii="Arial" w:hAnsi="Arial" w:cs="Arial"/>
          <w:b/>
        </w:rPr>
      </w:pPr>
      <w:r w:rsidRPr="001D4FC6">
        <w:rPr>
          <w:rFonts w:ascii="Arial" w:hAnsi="Arial" w:cs="Arial"/>
          <w:b/>
        </w:rPr>
        <w:t xml:space="preserve">Papel ecológico no sequestro de carbono de um sistema agroflorestal sucessional no Sudoeste do Paraná </w:t>
      </w:r>
    </w:p>
    <w:p w14:paraId="65906694" w14:textId="77777777" w:rsidR="00A715CC" w:rsidRPr="001D4FC6" w:rsidRDefault="00A715CC" w:rsidP="001D4FC6">
      <w:pPr>
        <w:tabs>
          <w:tab w:val="left" w:pos="0"/>
        </w:tabs>
        <w:jc w:val="center"/>
        <w:rPr>
          <w:rFonts w:ascii="Arial" w:hAnsi="Arial" w:cs="Arial"/>
          <w:bCs/>
          <w:i/>
          <w:iCs/>
        </w:rPr>
      </w:pPr>
      <w:r w:rsidRPr="001D4FC6">
        <w:rPr>
          <w:rFonts w:ascii="Arial" w:hAnsi="Arial" w:cs="Arial"/>
          <w:bCs/>
          <w:i/>
          <w:iCs/>
        </w:rPr>
        <w:t>Ecological role in the carbon sequestration of a successional agroforestry system in the Southwest of Paraná</w:t>
      </w:r>
    </w:p>
    <w:p w14:paraId="6FBC15C0" w14:textId="77777777" w:rsidR="00A715CC" w:rsidRPr="001D4FC6" w:rsidRDefault="00A715CC" w:rsidP="001D4FC6">
      <w:pPr>
        <w:tabs>
          <w:tab w:val="left" w:pos="0"/>
        </w:tabs>
        <w:spacing w:line="360" w:lineRule="auto"/>
        <w:jc w:val="center"/>
        <w:rPr>
          <w:rFonts w:ascii="Arial" w:hAnsi="Arial" w:cs="Arial"/>
          <w:bCs/>
          <w:i/>
          <w:iCs/>
        </w:rPr>
      </w:pPr>
    </w:p>
    <w:p w14:paraId="1D9B6CB9" w14:textId="77777777" w:rsidR="00A715CC" w:rsidRPr="001D4FC6" w:rsidRDefault="00A715CC" w:rsidP="001D4FC6">
      <w:pPr>
        <w:suppressAutoHyphens w:val="0"/>
        <w:autoSpaceDE w:val="0"/>
        <w:autoSpaceDN w:val="0"/>
        <w:adjustRightInd w:val="0"/>
        <w:jc w:val="center"/>
        <w:rPr>
          <w:rFonts w:ascii="Arial" w:eastAsia="Arial" w:hAnsi="Arial" w:cs="Arial"/>
        </w:rPr>
      </w:pPr>
      <w:r w:rsidRPr="001D4FC6">
        <w:rPr>
          <w:rFonts w:ascii="Arial" w:hAnsi="Arial" w:cs="Arial"/>
          <w:lang w:eastAsia="pt-BR"/>
        </w:rPr>
        <w:t>ARANCIBIA, Ivã Andreas L.</w:t>
      </w:r>
      <w:r w:rsidRPr="001D4FC6">
        <w:rPr>
          <w:rFonts w:ascii="Arial" w:hAnsi="Arial" w:cs="Arial"/>
          <w:vertAlign w:val="superscript"/>
          <w:lang w:eastAsia="pt-BR"/>
        </w:rPr>
        <w:t>1</w:t>
      </w:r>
      <w:r w:rsidRPr="001D4FC6">
        <w:rPr>
          <w:rFonts w:ascii="Arial" w:hAnsi="Arial" w:cs="Arial"/>
          <w:lang w:eastAsia="pt-BR"/>
        </w:rPr>
        <w:t>; DONAZZOLO, Joel</w:t>
      </w:r>
      <w:r w:rsidRPr="001D4FC6">
        <w:rPr>
          <w:rFonts w:ascii="Arial" w:hAnsi="Arial" w:cs="Arial"/>
          <w:vertAlign w:val="superscript"/>
          <w:lang w:eastAsia="pt-BR"/>
        </w:rPr>
        <w:t>2</w:t>
      </w:r>
      <w:r w:rsidRPr="001D4FC6">
        <w:rPr>
          <w:rFonts w:ascii="Arial" w:hAnsi="Arial" w:cs="Arial"/>
          <w:lang w:eastAsia="pt-BR"/>
        </w:rPr>
        <w:t xml:space="preserve">; </w:t>
      </w:r>
      <w:r w:rsidR="00391D60" w:rsidRPr="001D4FC6">
        <w:rPr>
          <w:rFonts w:ascii="Arial" w:eastAsia="Arial" w:hAnsi="Arial" w:cs="Arial"/>
        </w:rPr>
        <w:t>GIESEL, Alexandre</w:t>
      </w:r>
      <w:r w:rsidR="00391D60" w:rsidRPr="001D4FC6">
        <w:rPr>
          <w:rFonts w:ascii="Arial" w:eastAsia="Arial" w:hAnsi="Arial" w:cs="Arial"/>
          <w:vertAlign w:val="superscript"/>
        </w:rPr>
        <w:t>2</w:t>
      </w:r>
      <w:r w:rsidR="00391D60" w:rsidRPr="001D4FC6">
        <w:rPr>
          <w:rFonts w:ascii="Arial" w:hAnsi="Arial" w:cs="Arial"/>
          <w:lang w:eastAsia="pt-BR"/>
        </w:rPr>
        <w:t>;</w:t>
      </w:r>
      <w:r w:rsidRPr="001D4FC6">
        <w:rPr>
          <w:rFonts w:ascii="Arial" w:hAnsi="Arial" w:cs="Arial"/>
          <w:lang w:eastAsia="pt-BR"/>
        </w:rPr>
        <w:t xml:space="preserve"> SILVA, Rodrigo Voltani da</w:t>
      </w:r>
      <w:r w:rsidRPr="001D4FC6">
        <w:rPr>
          <w:rFonts w:ascii="Arial" w:hAnsi="Arial" w:cs="Arial"/>
          <w:vertAlign w:val="superscript"/>
          <w:lang w:eastAsia="pt-BR"/>
        </w:rPr>
        <w:t>3</w:t>
      </w:r>
      <w:r w:rsidRPr="001D4FC6">
        <w:rPr>
          <w:rFonts w:ascii="Arial" w:hAnsi="Arial" w:cs="Arial"/>
          <w:lang w:eastAsia="pt-BR"/>
        </w:rPr>
        <w:t>; SILVA, Victor Manoel</w:t>
      </w:r>
      <w:r w:rsidRPr="001D4FC6">
        <w:rPr>
          <w:rFonts w:ascii="Arial" w:hAnsi="Arial" w:cs="Arial"/>
          <w:vertAlign w:val="superscript"/>
          <w:lang w:eastAsia="pt-BR"/>
        </w:rPr>
        <w:t>3</w:t>
      </w:r>
      <w:r w:rsidR="00391D60" w:rsidRPr="001D4FC6">
        <w:rPr>
          <w:rFonts w:ascii="Arial" w:hAnsi="Arial" w:cs="Arial"/>
          <w:lang w:eastAsia="pt-BR"/>
        </w:rPr>
        <w:t>;</w:t>
      </w:r>
      <w:r w:rsidR="005024A6" w:rsidRPr="001D4FC6">
        <w:rPr>
          <w:rFonts w:ascii="Arial" w:hAnsi="Arial" w:cs="Arial"/>
          <w:lang w:eastAsia="pt-BR"/>
        </w:rPr>
        <w:t xml:space="preserve"> </w:t>
      </w:r>
      <w:r w:rsidR="00391D60" w:rsidRPr="001D4FC6">
        <w:rPr>
          <w:rFonts w:ascii="Arial" w:hAnsi="Arial" w:cs="Arial"/>
          <w:lang w:eastAsia="pt-BR"/>
        </w:rPr>
        <w:t>TOZZO, Isadora</w:t>
      </w:r>
      <w:r w:rsidR="00391D60" w:rsidRPr="001D4FC6">
        <w:rPr>
          <w:rFonts w:ascii="Arial" w:hAnsi="Arial" w:cs="Arial"/>
          <w:vertAlign w:val="superscript"/>
          <w:lang w:eastAsia="pt-BR"/>
        </w:rPr>
        <w:t>3</w:t>
      </w:r>
    </w:p>
    <w:p w14:paraId="6EA6C65A" w14:textId="77777777" w:rsidR="00A715CC" w:rsidRPr="001D4FC6" w:rsidRDefault="00B563E8" w:rsidP="001D4FC6">
      <w:pPr>
        <w:pBdr>
          <w:top w:val="nil"/>
          <w:left w:val="nil"/>
          <w:bottom w:val="nil"/>
          <w:right w:val="nil"/>
          <w:between w:val="nil"/>
        </w:pBdr>
        <w:ind w:hanging="2"/>
        <w:jc w:val="center"/>
        <w:rPr>
          <w:rFonts w:ascii="Arial" w:eastAsia="Arial" w:hAnsi="Arial" w:cs="Arial"/>
          <w:sz w:val="20"/>
          <w:szCs w:val="20"/>
        </w:rPr>
      </w:pPr>
      <w:r w:rsidRPr="001D4FC6">
        <w:rPr>
          <w:rFonts w:ascii="Arial" w:eastAsia="Arial" w:hAnsi="Arial" w:cs="Arial"/>
          <w:sz w:val="20"/>
          <w:szCs w:val="20"/>
          <w:vertAlign w:val="superscript"/>
        </w:rPr>
        <w:t xml:space="preserve">1 </w:t>
      </w:r>
      <w:r w:rsidRPr="001D4FC6">
        <w:rPr>
          <w:rFonts w:ascii="Arial" w:eastAsia="Arial" w:hAnsi="Arial" w:cs="Arial"/>
          <w:sz w:val="20"/>
          <w:szCs w:val="20"/>
        </w:rPr>
        <w:t xml:space="preserve">UTFPR-Dois Vizinhos, arancibia@utfpr.edu.br; </w:t>
      </w:r>
      <w:r w:rsidR="00391D60" w:rsidRPr="001D4FC6">
        <w:rPr>
          <w:rFonts w:ascii="Arial" w:eastAsia="Arial" w:hAnsi="Arial" w:cs="Arial"/>
          <w:sz w:val="20"/>
          <w:szCs w:val="20"/>
          <w:vertAlign w:val="superscript"/>
        </w:rPr>
        <w:t>2</w:t>
      </w:r>
      <w:r w:rsidR="00A715CC" w:rsidRPr="001D4FC6">
        <w:rPr>
          <w:rFonts w:ascii="Arial" w:eastAsia="Arial" w:hAnsi="Arial" w:cs="Arial"/>
          <w:sz w:val="20"/>
          <w:szCs w:val="20"/>
        </w:rPr>
        <w:t xml:space="preserve"> UTFPR-Dois Vizinhos, joel@utfpr.edu.br; </w:t>
      </w:r>
      <w:r w:rsidR="00A715CC" w:rsidRPr="001D4FC6">
        <w:rPr>
          <w:rFonts w:ascii="Arial" w:eastAsia="Arial" w:hAnsi="Arial" w:cs="Arial"/>
          <w:sz w:val="20"/>
          <w:szCs w:val="20"/>
          <w:vertAlign w:val="superscript"/>
        </w:rPr>
        <w:t>2</w:t>
      </w:r>
      <w:r w:rsidR="008619D1" w:rsidRPr="001D4FC6">
        <w:rPr>
          <w:rFonts w:ascii="Arial" w:eastAsia="Arial" w:hAnsi="Arial" w:cs="Arial"/>
          <w:sz w:val="20"/>
          <w:szCs w:val="20"/>
        </w:rPr>
        <w:t xml:space="preserve"> UTFPR-</w:t>
      </w:r>
      <w:r w:rsidR="00A715CC" w:rsidRPr="001D4FC6">
        <w:rPr>
          <w:rFonts w:ascii="Arial" w:eastAsia="Arial" w:hAnsi="Arial" w:cs="Arial"/>
          <w:sz w:val="20"/>
          <w:szCs w:val="20"/>
        </w:rPr>
        <w:t xml:space="preserve">Dois Vizinhos, </w:t>
      </w:r>
      <w:r w:rsidR="00B81126" w:rsidRPr="001D4FC6">
        <w:rPr>
          <w:rFonts w:ascii="Arial" w:eastAsia="Arial" w:hAnsi="Arial" w:cs="Arial"/>
          <w:sz w:val="20"/>
          <w:szCs w:val="20"/>
        </w:rPr>
        <w:t>alexandregiesel@gmail.com</w:t>
      </w:r>
      <w:r w:rsidRPr="001D4FC6">
        <w:rPr>
          <w:rFonts w:ascii="Arial" w:eastAsia="Arial" w:hAnsi="Arial" w:cs="Arial"/>
          <w:sz w:val="20"/>
          <w:szCs w:val="20"/>
        </w:rPr>
        <w:t>;</w:t>
      </w:r>
      <w:r w:rsidR="00B81126" w:rsidRPr="001D4FC6">
        <w:rPr>
          <w:rFonts w:ascii="Arial" w:eastAsia="Arial" w:hAnsi="Arial" w:cs="Arial"/>
          <w:sz w:val="20"/>
          <w:szCs w:val="20"/>
        </w:rPr>
        <w:t xml:space="preserve"> </w:t>
      </w:r>
      <w:r w:rsidR="00B81126" w:rsidRPr="001D4FC6">
        <w:rPr>
          <w:rFonts w:ascii="Arial" w:eastAsia="Arial" w:hAnsi="Arial" w:cs="Arial"/>
          <w:sz w:val="20"/>
          <w:szCs w:val="20"/>
          <w:vertAlign w:val="superscript"/>
        </w:rPr>
        <w:t xml:space="preserve">2 </w:t>
      </w:r>
      <w:r w:rsidR="008619D1" w:rsidRPr="001D4FC6">
        <w:rPr>
          <w:rFonts w:ascii="Arial" w:eastAsia="Arial" w:hAnsi="Arial" w:cs="Arial"/>
          <w:sz w:val="20"/>
          <w:szCs w:val="20"/>
        </w:rPr>
        <w:t>UTFPR-</w:t>
      </w:r>
      <w:r w:rsidR="00B81126" w:rsidRPr="001D4FC6">
        <w:rPr>
          <w:rFonts w:ascii="Arial" w:eastAsia="Arial" w:hAnsi="Arial" w:cs="Arial"/>
          <w:sz w:val="20"/>
          <w:szCs w:val="20"/>
        </w:rPr>
        <w:t>Dois Vizinhos,</w:t>
      </w:r>
      <w:r w:rsidR="00B81126" w:rsidRPr="001D4FC6">
        <w:rPr>
          <w:rFonts w:ascii="Arial" w:hAnsi="Arial" w:cs="Arial"/>
        </w:rPr>
        <w:t xml:space="preserve"> </w:t>
      </w:r>
      <w:r w:rsidR="008619D1" w:rsidRPr="001D4FC6">
        <w:rPr>
          <w:rFonts w:ascii="Arial" w:eastAsia="Arial" w:hAnsi="Arial" w:cs="Arial"/>
          <w:sz w:val="20"/>
          <w:szCs w:val="20"/>
        </w:rPr>
        <w:t xml:space="preserve">rodrigo.engforest@gmail.com; </w:t>
      </w:r>
      <w:r w:rsidR="008619D1" w:rsidRPr="001D4FC6">
        <w:rPr>
          <w:rFonts w:ascii="Arial" w:eastAsia="Arial" w:hAnsi="Arial" w:cs="Arial"/>
          <w:sz w:val="20"/>
          <w:szCs w:val="20"/>
          <w:vertAlign w:val="superscript"/>
        </w:rPr>
        <w:t>2</w:t>
      </w:r>
      <w:r w:rsidR="008619D1" w:rsidRPr="001D4FC6">
        <w:rPr>
          <w:rFonts w:ascii="Arial" w:eastAsia="Arial" w:hAnsi="Arial" w:cs="Arial"/>
          <w:sz w:val="20"/>
          <w:szCs w:val="20"/>
        </w:rPr>
        <w:t xml:space="preserve"> UTFPR-</w:t>
      </w:r>
      <w:r w:rsidR="00B81126" w:rsidRPr="001D4FC6">
        <w:rPr>
          <w:rFonts w:ascii="Arial" w:eastAsia="Arial" w:hAnsi="Arial" w:cs="Arial"/>
          <w:sz w:val="20"/>
          <w:szCs w:val="20"/>
        </w:rPr>
        <w:t>Dois Vizinhos, vict.dasilva_898@outlook.com</w:t>
      </w:r>
      <w:r w:rsidRPr="001D4FC6">
        <w:rPr>
          <w:rFonts w:ascii="Arial" w:eastAsia="Arial" w:hAnsi="Arial" w:cs="Arial"/>
          <w:sz w:val="20"/>
          <w:szCs w:val="20"/>
        </w:rPr>
        <w:t xml:space="preserve"> </w:t>
      </w:r>
      <w:r w:rsidRPr="001D4FC6">
        <w:rPr>
          <w:rFonts w:ascii="Arial" w:eastAsia="Arial" w:hAnsi="Arial" w:cs="Arial"/>
          <w:sz w:val="20"/>
          <w:szCs w:val="20"/>
          <w:vertAlign w:val="superscript"/>
        </w:rPr>
        <w:t>3</w:t>
      </w:r>
      <w:r w:rsidRPr="001D4FC6">
        <w:rPr>
          <w:rFonts w:ascii="Arial" w:eastAsia="Arial" w:hAnsi="Arial" w:cs="Arial"/>
          <w:sz w:val="20"/>
          <w:szCs w:val="20"/>
        </w:rPr>
        <w:t xml:space="preserve"> UTFPR-Dois Vizinhos, isadora.tozzo@hotmail.com</w:t>
      </w:r>
      <w:r w:rsidR="008619D1" w:rsidRPr="001D4FC6">
        <w:rPr>
          <w:rFonts w:ascii="Arial" w:eastAsia="Arial" w:hAnsi="Arial" w:cs="Arial"/>
          <w:sz w:val="20"/>
          <w:szCs w:val="20"/>
        </w:rPr>
        <w:t>.</w:t>
      </w:r>
      <w:r w:rsidRPr="001D4FC6">
        <w:rPr>
          <w:rFonts w:ascii="Arial" w:eastAsia="Arial" w:hAnsi="Arial" w:cs="Arial"/>
          <w:sz w:val="20"/>
          <w:szCs w:val="20"/>
        </w:rPr>
        <w:t xml:space="preserve"> </w:t>
      </w:r>
    </w:p>
    <w:p w14:paraId="0F146009" w14:textId="77777777" w:rsidR="00A715CC" w:rsidRPr="001D4FC6" w:rsidRDefault="00A715CC" w:rsidP="001D4FC6">
      <w:pPr>
        <w:tabs>
          <w:tab w:val="left" w:pos="0"/>
        </w:tabs>
        <w:spacing w:line="360" w:lineRule="auto"/>
        <w:jc w:val="both"/>
        <w:rPr>
          <w:rFonts w:ascii="Arial" w:hAnsi="Arial" w:cs="Arial"/>
          <w:bCs/>
        </w:rPr>
      </w:pPr>
    </w:p>
    <w:p w14:paraId="1BB4FE22" w14:textId="77777777" w:rsidR="00A715CC" w:rsidRPr="001D4FC6" w:rsidRDefault="00A715CC" w:rsidP="001D4FC6">
      <w:pPr>
        <w:tabs>
          <w:tab w:val="left" w:pos="0"/>
        </w:tabs>
        <w:jc w:val="center"/>
        <w:rPr>
          <w:rFonts w:ascii="Arial" w:hAnsi="Arial" w:cs="Arial"/>
          <w:b/>
        </w:rPr>
      </w:pPr>
      <w:r w:rsidRPr="001D4FC6">
        <w:rPr>
          <w:rFonts w:ascii="Arial" w:hAnsi="Arial" w:cs="Arial"/>
          <w:b/>
          <w:bCs/>
        </w:rPr>
        <w:t xml:space="preserve">Eixo temático: </w:t>
      </w:r>
      <w:bookmarkStart w:id="0" w:name="_Hlk12607811"/>
      <w:r w:rsidRPr="001D4FC6">
        <w:rPr>
          <w:rFonts w:ascii="Arial" w:hAnsi="Arial" w:cs="Arial"/>
          <w:b/>
          <w:bCs/>
        </w:rPr>
        <w:t>Manejo de Agroecossistemas de base ecológica</w:t>
      </w:r>
      <w:bookmarkEnd w:id="0"/>
    </w:p>
    <w:p w14:paraId="09860F0F" w14:textId="77777777" w:rsidR="00A715CC" w:rsidRPr="001D4FC6" w:rsidRDefault="00A715CC" w:rsidP="001D4FC6">
      <w:pPr>
        <w:spacing w:line="360" w:lineRule="auto"/>
        <w:jc w:val="both"/>
        <w:rPr>
          <w:rFonts w:ascii="Arial" w:hAnsi="Arial" w:cs="Arial"/>
          <w:b/>
          <w:bCs/>
          <w:sz w:val="22"/>
          <w:szCs w:val="22"/>
        </w:rPr>
      </w:pPr>
    </w:p>
    <w:p w14:paraId="4C40C25F" w14:textId="1BB211E7" w:rsidR="00A715CC" w:rsidRPr="001D4FC6" w:rsidRDefault="00A715CC" w:rsidP="001D4FC6">
      <w:pPr>
        <w:jc w:val="both"/>
        <w:rPr>
          <w:rFonts w:ascii="Arial" w:hAnsi="Arial" w:cs="Arial"/>
          <w:sz w:val="22"/>
          <w:szCs w:val="22"/>
        </w:rPr>
      </w:pPr>
      <w:r w:rsidRPr="001D4FC6">
        <w:rPr>
          <w:rFonts w:ascii="Arial" w:hAnsi="Arial" w:cs="Arial"/>
          <w:b/>
          <w:bCs/>
          <w:sz w:val="22"/>
          <w:szCs w:val="22"/>
        </w:rPr>
        <w:t>Resumo</w:t>
      </w:r>
      <w:r w:rsidR="001D4FC6">
        <w:rPr>
          <w:rFonts w:ascii="Arial" w:hAnsi="Arial" w:cs="Arial"/>
          <w:b/>
          <w:bCs/>
          <w:sz w:val="22"/>
          <w:szCs w:val="22"/>
        </w:rPr>
        <w:t xml:space="preserve">: </w:t>
      </w:r>
      <w:r w:rsidRPr="001D4FC6">
        <w:rPr>
          <w:rFonts w:ascii="Arial" w:hAnsi="Arial" w:cs="Arial"/>
          <w:sz w:val="22"/>
          <w:szCs w:val="22"/>
        </w:rPr>
        <w:t xml:space="preserve">O objetivo deste trabalho foi avaliar papel ecológico de um sistema agroflorestal sucessional em sua capacidade de sequestrar carbono na região sudoeste paranaense.  O sistema agroflorestal consiste em oito linhas com 4,0 m de distância entre linhas, o módulo originalmente empregado contém uma espécie madeireira protagonista, quatro frutíferas, quatro espécies madeireiras, culturas agrícolas anuais, adubos verdes e olerícolas. O módulo foi repetido seis vezes até ocupar toda a área disponível. A avaliação foi realizada por censo </w:t>
      </w:r>
      <w:r w:rsidR="007570CE" w:rsidRPr="001D4FC6">
        <w:rPr>
          <w:rFonts w:ascii="Arial" w:hAnsi="Arial" w:cs="Arial"/>
          <w:sz w:val="22"/>
          <w:szCs w:val="22"/>
        </w:rPr>
        <w:t>nos tempos</w:t>
      </w:r>
      <w:r w:rsidRPr="001D4FC6">
        <w:rPr>
          <w:rFonts w:ascii="Arial" w:hAnsi="Arial" w:cs="Arial"/>
          <w:sz w:val="22"/>
          <w:szCs w:val="22"/>
        </w:rPr>
        <w:t xml:space="preserve"> 0, 4, 5 e 8 anos após a implantação.  A avaliação de rendimento de madeira foi realizada pela circunferência de colo (C30), realizado separadamente para grupo de espécies dentro da classificação ecológica sucessional. Os resultados indi</w:t>
      </w:r>
      <w:r w:rsidR="00391D60" w:rsidRPr="001D4FC6">
        <w:rPr>
          <w:rFonts w:ascii="Arial" w:hAnsi="Arial" w:cs="Arial"/>
          <w:sz w:val="22"/>
          <w:szCs w:val="22"/>
        </w:rPr>
        <w:t>caram que as mudanças edafoclimá</w:t>
      </w:r>
      <w:r w:rsidRPr="001D4FC6">
        <w:rPr>
          <w:rFonts w:ascii="Arial" w:hAnsi="Arial" w:cs="Arial"/>
          <w:sz w:val="22"/>
          <w:szCs w:val="22"/>
        </w:rPr>
        <w:t>ticas promovidas pelo sis</w:t>
      </w:r>
      <w:r w:rsidR="005024A6" w:rsidRPr="001D4FC6">
        <w:rPr>
          <w:rFonts w:ascii="Arial" w:hAnsi="Arial" w:cs="Arial"/>
          <w:sz w:val="22"/>
          <w:szCs w:val="22"/>
        </w:rPr>
        <w:t>tema agroflorestal sucessional</w:t>
      </w:r>
      <w:r w:rsidRPr="001D4FC6">
        <w:rPr>
          <w:rFonts w:ascii="Arial" w:hAnsi="Arial" w:cs="Arial"/>
          <w:sz w:val="22"/>
          <w:szCs w:val="22"/>
        </w:rPr>
        <w:t xml:space="preserve"> favoreceram espécies de plantas secundárias iniciais, devendo estas serem priorizadas para o incremento de sequestro de carbono.</w:t>
      </w:r>
    </w:p>
    <w:p w14:paraId="6B6D9D3C" w14:textId="77777777" w:rsidR="00A715CC" w:rsidRPr="001D4FC6" w:rsidRDefault="00A715CC" w:rsidP="001D4FC6">
      <w:pPr>
        <w:jc w:val="both"/>
        <w:rPr>
          <w:rFonts w:ascii="Arial" w:hAnsi="Arial" w:cs="Arial"/>
          <w:iCs/>
          <w:sz w:val="22"/>
          <w:szCs w:val="22"/>
        </w:rPr>
      </w:pPr>
      <w:r w:rsidRPr="001D4FC6">
        <w:rPr>
          <w:rFonts w:ascii="Arial" w:hAnsi="Arial" w:cs="Arial"/>
          <w:b/>
          <w:bCs/>
          <w:sz w:val="22"/>
          <w:szCs w:val="22"/>
        </w:rPr>
        <w:t>Palavras-chave</w:t>
      </w:r>
      <w:r w:rsidRPr="001D4FC6">
        <w:rPr>
          <w:rFonts w:ascii="Arial" w:hAnsi="Arial" w:cs="Arial"/>
          <w:sz w:val="22"/>
          <w:szCs w:val="22"/>
        </w:rPr>
        <w:t>: Agrofloresta; Manejo; Silvicultura.</w:t>
      </w:r>
    </w:p>
    <w:p w14:paraId="6736081F" w14:textId="77777777" w:rsidR="00A715CC" w:rsidRPr="001D4FC6" w:rsidRDefault="00A715CC" w:rsidP="001D4FC6">
      <w:pPr>
        <w:jc w:val="both"/>
        <w:rPr>
          <w:rFonts w:ascii="Arial" w:hAnsi="Arial" w:cs="Arial"/>
          <w:iCs/>
          <w:sz w:val="22"/>
          <w:szCs w:val="22"/>
        </w:rPr>
      </w:pPr>
      <w:r w:rsidRPr="001D4FC6">
        <w:rPr>
          <w:rFonts w:ascii="Arial" w:hAnsi="Arial" w:cs="Arial"/>
          <w:b/>
          <w:bCs/>
          <w:iCs/>
          <w:sz w:val="22"/>
          <w:szCs w:val="22"/>
        </w:rPr>
        <w:t>Keywords</w:t>
      </w:r>
      <w:r w:rsidRPr="001D4FC6">
        <w:rPr>
          <w:rFonts w:ascii="Arial" w:hAnsi="Arial" w:cs="Arial"/>
          <w:iCs/>
          <w:sz w:val="22"/>
          <w:szCs w:val="22"/>
        </w:rPr>
        <w:t>: Agroforestry; Management; Silviculture</w:t>
      </w:r>
    </w:p>
    <w:p w14:paraId="1EE27AE2" w14:textId="77777777" w:rsidR="00B81126" w:rsidRPr="001D4FC6" w:rsidRDefault="00B81126" w:rsidP="001D4FC6">
      <w:pPr>
        <w:keepNext/>
        <w:numPr>
          <w:ilvl w:val="0"/>
          <w:numId w:val="1"/>
        </w:numPr>
        <w:tabs>
          <w:tab w:val="left" w:pos="0"/>
        </w:tabs>
        <w:spacing w:line="360" w:lineRule="auto"/>
        <w:jc w:val="both"/>
        <w:outlineLvl w:val="0"/>
        <w:rPr>
          <w:rFonts w:ascii="Arial" w:hAnsi="Arial" w:cs="Arial"/>
          <w:b/>
          <w:bCs/>
          <w:lang w:val="en-US"/>
        </w:rPr>
      </w:pPr>
    </w:p>
    <w:p w14:paraId="7190FFF9" w14:textId="77777777" w:rsidR="00A715CC" w:rsidRPr="001D4FC6" w:rsidRDefault="00A715CC" w:rsidP="001D4FC6">
      <w:pPr>
        <w:keepNext/>
        <w:numPr>
          <w:ilvl w:val="0"/>
          <w:numId w:val="1"/>
        </w:numPr>
        <w:tabs>
          <w:tab w:val="left" w:pos="0"/>
        </w:tabs>
        <w:jc w:val="both"/>
        <w:outlineLvl w:val="0"/>
        <w:rPr>
          <w:rFonts w:ascii="Arial" w:hAnsi="Arial" w:cs="Arial"/>
          <w:b/>
          <w:bCs/>
          <w:lang w:val="en-US"/>
        </w:rPr>
      </w:pPr>
      <w:r w:rsidRPr="001D4FC6">
        <w:rPr>
          <w:rFonts w:ascii="Arial" w:hAnsi="Arial" w:cs="Arial"/>
          <w:b/>
          <w:bCs/>
          <w:lang w:val="en-US"/>
        </w:rPr>
        <w:t>Introdução</w:t>
      </w:r>
    </w:p>
    <w:p w14:paraId="62B8E56C" w14:textId="77777777" w:rsidR="00A715CC" w:rsidRPr="001D4FC6" w:rsidRDefault="00A715CC" w:rsidP="001D4FC6">
      <w:pPr>
        <w:rPr>
          <w:rFonts w:ascii="Arial" w:hAnsi="Arial" w:cs="Arial"/>
          <w:lang w:val="en-US"/>
        </w:rPr>
      </w:pPr>
    </w:p>
    <w:p w14:paraId="6A4644B6" w14:textId="11995F79" w:rsidR="00A715CC" w:rsidRDefault="00A715CC" w:rsidP="001D4FC6">
      <w:pPr>
        <w:jc w:val="both"/>
        <w:rPr>
          <w:rFonts w:ascii="Arial" w:hAnsi="Arial" w:cs="Arial"/>
        </w:rPr>
      </w:pPr>
      <w:r w:rsidRPr="001D4FC6">
        <w:rPr>
          <w:rFonts w:ascii="Arial" w:hAnsi="Arial" w:cs="Arial"/>
          <w:shd w:val="clear" w:color="auto" w:fill="FFFFFF"/>
        </w:rPr>
        <w:t>Dentre as atividades humanas, aquelas relacionadas a queima de combustíveis fósseis, a utilização de </w:t>
      </w:r>
      <w:hyperlink r:id="rId8" w:tooltip="Calcário" w:history="1">
        <w:r w:rsidRPr="001D4FC6">
          <w:rPr>
            <w:rFonts w:ascii="Arial" w:hAnsi="Arial" w:cs="Arial"/>
            <w:shd w:val="clear" w:color="auto" w:fill="FFFFFF"/>
          </w:rPr>
          <w:t>calcário</w:t>
        </w:r>
      </w:hyperlink>
      <w:r w:rsidRPr="001D4FC6">
        <w:rPr>
          <w:rFonts w:ascii="Arial" w:hAnsi="Arial" w:cs="Arial"/>
          <w:shd w:val="clear" w:color="auto" w:fill="FFFFFF"/>
        </w:rPr>
        <w:t> para a produção de </w:t>
      </w:r>
      <w:hyperlink r:id="rId9" w:tooltip="Cimento" w:history="1">
        <w:r w:rsidRPr="001D4FC6">
          <w:rPr>
            <w:rFonts w:ascii="Arial" w:hAnsi="Arial" w:cs="Arial"/>
            <w:shd w:val="clear" w:color="auto" w:fill="FFFFFF"/>
          </w:rPr>
          <w:t>cimento</w:t>
        </w:r>
      </w:hyperlink>
      <w:r w:rsidRPr="001D4FC6">
        <w:rPr>
          <w:rFonts w:ascii="Arial" w:hAnsi="Arial" w:cs="Arial"/>
          <w:shd w:val="clear" w:color="auto" w:fill="FFFFFF"/>
        </w:rPr>
        <w:t>, os diferentes usos da terra, a criação intensiva de animais e o </w:t>
      </w:r>
      <w:hyperlink r:id="rId10" w:tooltip="Desmatamento" w:history="1">
        <w:r w:rsidRPr="001D4FC6">
          <w:rPr>
            <w:rFonts w:ascii="Arial" w:hAnsi="Arial" w:cs="Arial"/>
            <w:shd w:val="clear" w:color="auto" w:fill="FFFFFF"/>
          </w:rPr>
          <w:t>desmatamento</w:t>
        </w:r>
      </w:hyperlink>
      <w:r w:rsidRPr="001D4FC6">
        <w:rPr>
          <w:rFonts w:ascii="Arial" w:hAnsi="Arial" w:cs="Arial"/>
        </w:rPr>
        <w:t>, representam</w:t>
      </w:r>
      <w:r w:rsidRPr="001D4FC6">
        <w:rPr>
          <w:rFonts w:ascii="Arial" w:hAnsi="Arial" w:cs="Arial"/>
          <w:shd w:val="clear" w:color="auto" w:fill="FFFFFF"/>
        </w:rPr>
        <w:t xml:space="preserve"> as principais causas do aumento dos níveis de </w:t>
      </w:r>
      <w:hyperlink r:id="rId11" w:tooltip="Dióxido de carbono" w:history="1">
        <w:r w:rsidRPr="001D4FC6">
          <w:rPr>
            <w:rFonts w:ascii="Arial" w:hAnsi="Arial" w:cs="Arial"/>
            <w:shd w:val="clear" w:color="auto" w:fill="FFFFFF"/>
          </w:rPr>
          <w:t>dióxido de carbono</w:t>
        </w:r>
      </w:hyperlink>
      <w:r w:rsidRPr="001D4FC6">
        <w:rPr>
          <w:rFonts w:ascii="Arial" w:hAnsi="Arial" w:cs="Arial"/>
          <w:shd w:val="clear" w:color="auto" w:fill="FFFFFF"/>
        </w:rPr>
        <w:t> (CO</w:t>
      </w:r>
      <w:r w:rsidRPr="001D4FC6">
        <w:rPr>
          <w:rFonts w:ascii="Arial" w:hAnsi="Arial" w:cs="Arial"/>
          <w:shd w:val="clear" w:color="auto" w:fill="FFFFFF"/>
          <w:vertAlign w:val="subscript"/>
        </w:rPr>
        <w:t>2</w:t>
      </w:r>
      <w:r w:rsidRPr="001D4FC6">
        <w:rPr>
          <w:rFonts w:ascii="Arial" w:hAnsi="Arial" w:cs="Arial"/>
          <w:shd w:val="clear" w:color="auto" w:fill="FFFFFF"/>
        </w:rPr>
        <w:t>) e de metano (CH</w:t>
      </w:r>
      <w:r w:rsidRPr="001D4FC6">
        <w:rPr>
          <w:rFonts w:ascii="Arial" w:hAnsi="Arial" w:cs="Arial"/>
          <w:shd w:val="clear" w:color="auto" w:fill="FFFFFF"/>
          <w:vertAlign w:val="subscript"/>
        </w:rPr>
        <w:t>4</w:t>
      </w:r>
      <w:r w:rsidRPr="001D4FC6">
        <w:rPr>
          <w:rFonts w:ascii="Arial" w:hAnsi="Arial" w:cs="Arial"/>
          <w:shd w:val="clear" w:color="auto" w:fill="FFFFFF"/>
        </w:rPr>
        <w:t>) na atmosfera, o que vem a contribuir no aumento do </w:t>
      </w:r>
      <w:hyperlink r:id="rId12" w:tooltip="Aquecimento global" w:history="1">
        <w:r w:rsidRPr="001D4FC6">
          <w:rPr>
            <w:rFonts w:ascii="Arial" w:hAnsi="Arial" w:cs="Arial"/>
            <w:shd w:val="clear" w:color="auto" w:fill="FFFFFF"/>
          </w:rPr>
          <w:t>aquecimento global</w:t>
        </w:r>
      </w:hyperlink>
      <w:r w:rsidRPr="001D4FC6">
        <w:rPr>
          <w:rFonts w:ascii="Arial" w:hAnsi="Arial" w:cs="Arial"/>
        </w:rPr>
        <w:t xml:space="preserve"> (LEAL et al., 2015). </w:t>
      </w:r>
    </w:p>
    <w:p w14:paraId="43F072CF" w14:textId="77777777" w:rsidR="001D4FC6" w:rsidRPr="001D4FC6" w:rsidRDefault="001D4FC6" w:rsidP="001D4FC6">
      <w:pPr>
        <w:jc w:val="both"/>
        <w:rPr>
          <w:rFonts w:ascii="Arial" w:hAnsi="Arial" w:cs="Arial"/>
        </w:rPr>
      </w:pPr>
    </w:p>
    <w:p w14:paraId="24C6EA36" w14:textId="7A713E78" w:rsidR="00A715CC" w:rsidRDefault="00A715CC" w:rsidP="001D4FC6">
      <w:pPr>
        <w:jc w:val="both"/>
        <w:rPr>
          <w:rFonts w:ascii="Arial" w:hAnsi="Arial" w:cs="Arial"/>
        </w:rPr>
      </w:pPr>
      <w:r w:rsidRPr="001D4FC6">
        <w:rPr>
          <w:rFonts w:ascii="Arial" w:hAnsi="Arial" w:cs="Arial"/>
        </w:rPr>
        <w:t>O Brasil no período entre 1990 a 2016 emitiu um total de 62 bilhões de toneladas de CO</w:t>
      </w:r>
      <w:r w:rsidRPr="001D4FC6">
        <w:rPr>
          <w:rFonts w:ascii="Arial" w:hAnsi="Arial" w:cs="Arial"/>
          <w:vertAlign w:val="subscript"/>
        </w:rPr>
        <w:t>2</w:t>
      </w:r>
      <w:r w:rsidRPr="001D4FC6">
        <w:rPr>
          <w:rFonts w:ascii="Arial" w:hAnsi="Arial" w:cs="Arial"/>
        </w:rPr>
        <w:t>, sendo 37 bilhões (62%) gerados por mudanças de uso da terra e, destes, 94% são emissões oriundas do desmatamento (LEAL et al., 2015).</w:t>
      </w:r>
    </w:p>
    <w:p w14:paraId="6576888A" w14:textId="77777777" w:rsidR="001D4FC6" w:rsidRPr="001D4FC6" w:rsidRDefault="001D4FC6" w:rsidP="001D4FC6">
      <w:pPr>
        <w:jc w:val="both"/>
        <w:rPr>
          <w:rFonts w:ascii="Arial" w:hAnsi="Arial" w:cs="Arial"/>
        </w:rPr>
      </w:pPr>
    </w:p>
    <w:p w14:paraId="7E13E943" w14:textId="6857759A" w:rsidR="00A715CC" w:rsidRDefault="00A715CC" w:rsidP="001D4FC6">
      <w:pPr>
        <w:jc w:val="both"/>
        <w:rPr>
          <w:rFonts w:ascii="Arial" w:hAnsi="Arial" w:cs="Arial"/>
        </w:rPr>
      </w:pPr>
      <w:r w:rsidRPr="001D4FC6">
        <w:rPr>
          <w:rFonts w:ascii="Arial" w:hAnsi="Arial" w:cs="Arial"/>
        </w:rPr>
        <w:t>Assim, surge uma necessidade urgente em reduzir as emissões de CO</w:t>
      </w:r>
      <w:r w:rsidRPr="001D4FC6">
        <w:rPr>
          <w:rFonts w:ascii="Arial" w:hAnsi="Arial" w:cs="Arial"/>
          <w:vertAlign w:val="subscript"/>
        </w:rPr>
        <w:t>2</w:t>
      </w:r>
      <w:r w:rsidRPr="001D4FC6">
        <w:rPr>
          <w:rFonts w:ascii="Arial" w:hAnsi="Arial" w:cs="Arial"/>
        </w:rPr>
        <w:t> para a atmosfera, uma das alternativas seria a captação do CO</w:t>
      </w:r>
      <w:r w:rsidRPr="001D4FC6">
        <w:rPr>
          <w:rFonts w:ascii="Arial" w:hAnsi="Arial" w:cs="Arial"/>
          <w:vertAlign w:val="subscript"/>
        </w:rPr>
        <w:t>2</w:t>
      </w:r>
      <w:r w:rsidRPr="001D4FC6">
        <w:rPr>
          <w:rFonts w:ascii="Arial" w:hAnsi="Arial" w:cs="Arial"/>
        </w:rPr>
        <w:t> liberado, através do processo conhecido como sequestro de carbono. O sequestro de carbono consiste, basicamente, na absorção de grandes quantidades gás carbônico (CO</w:t>
      </w:r>
      <w:r w:rsidRPr="001D4FC6">
        <w:rPr>
          <w:rFonts w:ascii="Arial" w:hAnsi="Arial" w:cs="Arial"/>
          <w:vertAlign w:val="subscript"/>
        </w:rPr>
        <w:t>2</w:t>
      </w:r>
      <w:r w:rsidRPr="001D4FC6">
        <w:rPr>
          <w:rFonts w:ascii="Arial" w:hAnsi="Arial" w:cs="Arial"/>
        </w:rPr>
        <w:t xml:space="preserve">) presentes na </w:t>
      </w:r>
      <w:r w:rsidRPr="001D4FC6">
        <w:rPr>
          <w:rFonts w:ascii="Arial" w:hAnsi="Arial" w:cs="Arial"/>
        </w:rPr>
        <w:lastRenderedPageBreak/>
        <w:t>atmosfera. Tal processo ocorre principalmente em oceanos, florestas e outros organismos que, por meio de fotossíntese, fazem a captura do carbono e lançam oxigênio na atmosfera. Através deste processo ocorre a captura e estocagem segura de gás carbônico (CO</w:t>
      </w:r>
      <w:r w:rsidRPr="001D4FC6">
        <w:rPr>
          <w:rFonts w:ascii="Arial" w:hAnsi="Arial" w:cs="Arial"/>
          <w:vertAlign w:val="subscript"/>
        </w:rPr>
        <w:t>2</w:t>
      </w:r>
      <w:r w:rsidRPr="001D4FC6">
        <w:rPr>
          <w:rFonts w:ascii="Arial" w:hAnsi="Arial" w:cs="Arial"/>
        </w:rPr>
        <w:t>), evitando-se assim sua emissão e permanência na atmosfera terrestre.</w:t>
      </w:r>
      <w:r w:rsidRPr="001D4FC6">
        <w:rPr>
          <w:rFonts w:ascii="Arial" w:hAnsi="Arial" w:cs="Arial"/>
          <w:shd w:val="clear" w:color="auto" w:fill="FFFFFF"/>
        </w:rPr>
        <w:t xml:space="preserve"> </w:t>
      </w:r>
      <w:r w:rsidRPr="001D4FC6">
        <w:rPr>
          <w:rFonts w:ascii="Arial" w:hAnsi="Arial" w:cs="Arial"/>
        </w:rPr>
        <w:t xml:space="preserve"> As florestas oferecem grande potencial, em curto prazo, para remoção de CO</w:t>
      </w:r>
      <w:r w:rsidRPr="001D4FC6">
        <w:rPr>
          <w:rFonts w:ascii="Arial" w:hAnsi="Arial" w:cs="Arial"/>
          <w:vertAlign w:val="subscript"/>
        </w:rPr>
        <w:t>2</w:t>
      </w:r>
      <w:r w:rsidRPr="001D4FC6">
        <w:rPr>
          <w:rFonts w:ascii="Arial" w:hAnsi="Arial" w:cs="Arial"/>
        </w:rPr>
        <w:t xml:space="preserve"> da atmosfera, por desempenhar papel significativo na atual problemática do ciclo global de carbono, devido a sua capacidade de estocar por longo prazo quantidades de carbono na vegetação, trocando carbono com a atmosfera por meio da fotossíntese e da respiração (SANQUETA, 2002). </w:t>
      </w:r>
      <w:r w:rsidR="00324604" w:rsidRPr="001D4FC6">
        <w:rPr>
          <w:rFonts w:ascii="Arial" w:hAnsi="Arial" w:cs="Arial"/>
        </w:rPr>
        <w:t>Dos 3.260 Gt C distribuídos na superfície terrestre, as florestas e o solo florestal, constituído por matéria orgânica em vários estágios de decomposição, são responsáveis por dois terços, ou seja 2.500 Gt C, fazendo com que as florestas proporcionem o mais longo estoque do ciclo do carbono entre todo o reino vegetal (YU, 2004).</w:t>
      </w:r>
      <w:r w:rsidRPr="001D4FC6">
        <w:rPr>
          <w:rFonts w:ascii="Arial" w:hAnsi="Arial" w:cs="Arial"/>
        </w:rPr>
        <w:t xml:space="preserve"> </w:t>
      </w:r>
      <w:r w:rsidR="00324604" w:rsidRPr="001D4FC6">
        <w:rPr>
          <w:rFonts w:ascii="Arial" w:hAnsi="Arial" w:cs="Arial"/>
        </w:rPr>
        <w:t>Ao contrário de</w:t>
      </w:r>
      <w:r w:rsidRPr="001D4FC6">
        <w:rPr>
          <w:rFonts w:ascii="Arial" w:hAnsi="Arial" w:cs="Arial"/>
        </w:rPr>
        <w:t xml:space="preserve"> </w:t>
      </w:r>
      <w:r w:rsidR="00324604" w:rsidRPr="001D4FC6">
        <w:rPr>
          <w:rFonts w:ascii="Arial" w:hAnsi="Arial" w:cs="Arial"/>
        </w:rPr>
        <w:t>vegetais</w:t>
      </w:r>
      <w:r w:rsidRPr="001D4FC6">
        <w:rPr>
          <w:rFonts w:ascii="Arial" w:hAnsi="Arial" w:cs="Arial"/>
        </w:rPr>
        <w:t xml:space="preserve"> de ciclo de vida curto que morrem e se decompõem rapidamente, as árvores são indivíduos de ciclo de vida longo que acumulam carbono em sua biomassa (Silva et al., 2001). Segundo Silva et al. (2001), as florestas trocam CO2 com o ambiente por meio de processos como fotossíntese, respiração, decomposição e emissões associadas a distúrbios como fogo, o desfolhamento por diversas causas e à exploração florestal. As mudanças nos estoques líquidos de carbono determinam se um ecossistema florestal será uma fonte ou sumidouro do carbono atmosférico</w:t>
      </w:r>
      <w:r w:rsidR="008C55AE" w:rsidRPr="001D4FC6">
        <w:rPr>
          <w:rFonts w:ascii="Arial" w:hAnsi="Arial" w:cs="Arial"/>
        </w:rPr>
        <w:t>, tornando necessária a busca por meios de produção e uso da terra mais sustentáveis.</w:t>
      </w:r>
    </w:p>
    <w:p w14:paraId="7E479658" w14:textId="77777777" w:rsidR="001D4FC6" w:rsidRPr="001D4FC6" w:rsidRDefault="001D4FC6" w:rsidP="001D4FC6">
      <w:pPr>
        <w:jc w:val="both"/>
        <w:rPr>
          <w:rFonts w:ascii="Arial" w:hAnsi="Arial" w:cs="Arial"/>
        </w:rPr>
      </w:pPr>
    </w:p>
    <w:p w14:paraId="5CE8B2C3" w14:textId="77777777" w:rsidR="00A715CC" w:rsidRPr="001D4FC6" w:rsidRDefault="00A715CC" w:rsidP="001D4FC6">
      <w:pPr>
        <w:jc w:val="both"/>
        <w:rPr>
          <w:rFonts w:ascii="Arial" w:hAnsi="Arial" w:cs="Arial"/>
        </w:rPr>
      </w:pPr>
      <w:r w:rsidRPr="001D4FC6">
        <w:rPr>
          <w:rFonts w:ascii="Arial" w:hAnsi="Arial" w:cs="Arial"/>
        </w:rPr>
        <w:t xml:space="preserve">Os SAFs surgem como uma prática agroecológica de produção de alimentos, que combinam espécies arbóreas (frutíferas e/ou madeireiras) com cultivos agrícolas e/ou criação de animais, de forma simultânea ou em sequência temporal, e que promovem benefícios econômicos e ecológicos, principalmente ao modo de agricultura familiar (PALUDO e COSTABEBER, 2002). Os sistemas agroflorestais ou agroflorestas apresentam como principais vantagens, frente a agricultura convencional, a fácil recuperação da fertilidade dos </w:t>
      </w:r>
      <w:r w:rsidR="008C55AE" w:rsidRPr="001D4FC6">
        <w:rPr>
          <w:rFonts w:ascii="Arial" w:hAnsi="Arial" w:cs="Arial"/>
        </w:rPr>
        <w:t xml:space="preserve">solos, </w:t>
      </w:r>
      <w:r w:rsidRPr="001D4FC6">
        <w:rPr>
          <w:rFonts w:ascii="Arial" w:hAnsi="Arial" w:cs="Arial"/>
        </w:rPr>
        <w:t>o fornecimento de adubos verdes, o controle de ervas daninhas, aumento da biodiversidade e da agrobiodiversidade local e o melhor aproveitamento das áreas disponíveis nas unidades rurais (PALUDO e COSTABEBER, 2002). Os SAF´s podem comportar espécies vegetais de diferentes estágios de sucessão ecológica simultaneamente, o que vem a incrementar as interações ecológicas que ocorrem entre seus diferentes componentes do sistema, levando a uma maximização do ganho de biomassa, principalmente quando se prioriza as condições fitogeográficas e edafoclimáticas de uma determinada região.</w:t>
      </w:r>
    </w:p>
    <w:p w14:paraId="661ED3C1" w14:textId="1B5FA269" w:rsidR="00A715CC" w:rsidRDefault="00A715CC" w:rsidP="001D4FC6">
      <w:pPr>
        <w:jc w:val="both"/>
        <w:rPr>
          <w:rFonts w:ascii="Arial" w:hAnsi="Arial" w:cs="Arial"/>
        </w:rPr>
      </w:pPr>
      <w:r w:rsidRPr="001D4FC6">
        <w:rPr>
          <w:rFonts w:ascii="Arial" w:hAnsi="Arial" w:cs="Arial"/>
        </w:rPr>
        <w:t>Dentro desta perspectiva os sistemas agroflorestais (SAF’s) podem auxiliar o processo de sequestro de carbono dado as suas características estruturais estratificada e diversificada no uso de espécies vegetais.</w:t>
      </w:r>
    </w:p>
    <w:p w14:paraId="3EE6541C" w14:textId="77777777" w:rsidR="001D4FC6" w:rsidRPr="001D4FC6" w:rsidRDefault="001D4FC6" w:rsidP="001D4FC6">
      <w:pPr>
        <w:jc w:val="both"/>
        <w:rPr>
          <w:rFonts w:ascii="Arial" w:hAnsi="Arial" w:cs="Arial"/>
        </w:rPr>
      </w:pPr>
    </w:p>
    <w:p w14:paraId="47AE890D" w14:textId="77777777" w:rsidR="00A715CC" w:rsidRPr="001D4FC6" w:rsidRDefault="00A715CC" w:rsidP="001D4FC6">
      <w:pPr>
        <w:jc w:val="both"/>
        <w:rPr>
          <w:rFonts w:ascii="Arial" w:hAnsi="Arial" w:cs="Arial"/>
        </w:rPr>
      </w:pPr>
      <w:r w:rsidRPr="001D4FC6">
        <w:rPr>
          <w:rFonts w:ascii="Arial" w:hAnsi="Arial" w:cs="Arial"/>
        </w:rPr>
        <w:t xml:space="preserve">Desta forma, o objetivo deste trabalho foi de verificar a capacidade de sequestro de carbono em um sistema agroflorestal sucessional no Sudoeste do Paraná, através do desenvolvimento em diâmetro de colo das espécies pertencentes a diferentes grupos ecológicos. </w:t>
      </w:r>
    </w:p>
    <w:p w14:paraId="0DCC8DD2" w14:textId="77777777" w:rsidR="00A715CC" w:rsidRPr="001D4FC6" w:rsidRDefault="00A715CC" w:rsidP="001D4FC6">
      <w:pPr>
        <w:jc w:val="both"/>
        <w:rPr>
          <w:rFonts w:ascii="Arial" w:hAnsi="Arial" w:cs="Arial"/>
        </w:rPr>
      </w:pPr>
    </w:p>
    <w:p w14:paraId="7B695973" w14:textId="77777777" w:rsidR="00391D60" w:rsidRPr="001D4FC6" w:rsidRDefault="00A715CC" w:rsidP="001D4FC6">
      <w:pPr>
        <w:jc w:val="both"/>
        <w:rPr>
          <w:rFonts w:ascii="Arial" w:hAnsi="Arial" w:cs="Arial"/>
          <w:bCs/>
        </w:rPr>
      </w:pPr>
      <w:r w:rsidRPr="001D4FC6">
        <w:rPr>
          <w:rFonts w:ascii="Arial" w:hAnsi="Arial" w:cs="Arial"/>
          <w:bCs/>
        </w:rPr>
        <w:t xml:space="preserve"> </w:t>
      </w:r>
    </w:p>
    <w:p w14:paraId="13997868" w14:textId="77777777" w:rsidR="00391D60" w:rsidRPr="001D4FC6" w:rsidRDefault="00391D60" w:rsidP="001D4FC6">
      <w:pPr>
        <w:jc w:val="both"/>
        <w:rPr>
          <w:rFonts w:ascii="Arial" w:hAnsi="Arial" w:cs="Arial"/>
          <w:bCs/>
        </w:rPr>
      </w:pPr>
    </w:p>
    <w:p w14:paraId="01ACE95A" w14:textId="77777777" w:rsidR="00391D60" w:rsidRPr="001D4FC6" w:rsidRDefault="00391D60" w:rsidP="001D4FC6">
      <w:pPr>
        <w:spacing w:line="360" w:lineRule="auto"/>
        <w:jc w:val="both"/>
        <w:rPr>
          <w:rFonts w:ascii="Arial" w:hAnsi="Arial" w:cs="Arial"/>
          <w:bCs/>
        </w:rPr>
      </w:pPr>
    </w:p>
    <w:p w14:paraId="6180E4AE" w14:textId="77777777" w:rsidR="00A715CC" w:rsidRPr="001D4FC6" w:rsidRDefault="00A715CC" w:rsidP="001D4FC6">
      <w:pPr>
        <w:jc w:val="both"/>
        <w:rPr>
          <w:rFonts w:ascii="Arial" w:hAnsi="Arial" w:cs="Arial"/>
          <w:b/>
          <w:bCs/>
        </w:rPr>
      </w:pPr>
      <w:r w:rsidRPr="001D4FC6">
        <w:rPr>
          <w:rFonts w:ascii="Arial" w:hAnsi="Arial" w:cs="Arial"/>
          <w:b/>
          <w:bCs/>
        </w:rPr>
        <w:t>Metodologia</w:t>
      </w:r>
    </w:p>
    <w:p w14:paraId="28D1CFE4" w14:textId="77777777" w:rsidR="007570CE" w:rsidRPr="001D4FC6" w:rsidRDefault="007570CE" w:rsidP="001D4FC6">
      <w:pPr>
        <w:jc w:val="both"/>
        <w:rPr>
          <w:rFonts w:ascii="Arial" w:hAnsi="Arial" w:cs="Arial"/>
          <w:b/>
          <w:bCs/>
        </w:rPr>
      </w:pPr>
    </w:p>
    <w:p w14:paraId="14211ECB" w14:textId="379D781B" w:rsidR="00A715CC" w:rsidRDefault="00A715CC" w:rsidP="001D4FC6">
      <w:pPr>
        <w:jc w:val="both"/>
        <w:rPr>
          <w:rFonts w:ascii="Arial" w:hAnsi="Arial" w:cs="Arial"/>
        </w:rPr>
      </w:pPr>
      <w:r w:rsidRPr="001D4FC6">
        <w:rPr>
          <w:rFonts w:ascii="Arial" w:hAnsi="Arial" w:cs="Arial"/>
        </w:rPr>
        <w:t xml:space="preserve">A unidade experimental de ensino e pesquisa (UNEPE) de sistemas agroflorestais encontra-se localizada na Universidade Federal Tecnológica do Paraná, no município de Dois Vizinhos. </w:t>
      </w:r>
    </w:p>
    <w:p w14:paraId="2F157E66" w14:textId="77777777" w:rsidR="001D4FC6" w:rsidRPr="001D4FC6" w:rsidRDefault="001D4FC6" w:rsidP="001D4FC6">
      <w:pPr>
        <w:jc w:val="both"/>
        <w:rPr>
          <w:rFonts w:ascii="Arial" w:hAnsi="Arial" w:cs="Arial"/>
        </w:rPr>
      </w:pPr>
    </w:p>
    <w:p w14:paraId="55A717BA" w14:textId="669ED9AE" w:rsidR="00A715CC" w:rsidRDefault="00A715CC" w:rsidP="001D4FC6">
      <w:pPr>
        <w:jc w:val="both"/>
        <w:rPr>
          <w:rFonts w:ascii="Arial" w:hAnsi="Arial" w:cs="Arial"/>
        </w:rPr>
      </w:pPr>
      <w:r w:rsidRPr="001D4FC6">
        <w:rPr>
          <w:rFonts w:ascii="Arial" w:hAnsi="Arial" w:cs="Arial"/>
        </w:rPr>
        <w:t>O SAF´s foi implantado em outubro de 2010, em uma área de 1.600 m², onde anteriormente havia cultivo de Rami (</w:t>
      </w:r>
      <w:r w:rsidRPr="001D4FC6">
        <w:rPr>
          <w:rFonts w:ascii="Arial" w:hAnsi="Arial" w:cs="Arial"/>
          <w:i/>
          <w:iCs/>
        </w:rPr>
        <w:t>Boehmerie nivea</w:t>
      </w:r>
      <w:r w:rsidRPr="001D4FC6">
        <w:rPr>
          <w:rFonts w:ascii="Arial" w:hAnsi="Arial" w:cs="Arial"/>
        </w:rPr>
        <w:t xml:space="preserve">). O plantio ocorreu em 8 linhas com 4,0 m de distância entre si, a sequência de espécies utilizadas foi: uma madeireira protagonista, quatro frutíferas, outras quatro espécies madeireiras, culturas agrícolas anuais, adubos verdes e olerícolas, que juntas formam o módulo, sendo </w:t>
      </w:r>
      <w:r w:rsidR="00391D60" w:rsidRPr="001D4FC6">
        <w:rPr>
          <w:rFonts w:ascii="Arial" w:hAnsi="Arial" w:cs="Arial"/>
        </w:rPr>
        <w:t>este repetido</w:t>
      </w:r>
      <w:r w:rsidRPr="001D4FC6">
        <w:rPr>
          <w:rFonts w:ascii="Arial" w:hAnsi="Arial" w:cs="Arial"/>
        </w:rPr>
        <w:t xml:space="preserve"> por mais seis vezes até ocupar toda a área disponível. Considerou-se a estratificação vertical de uma floresta natural como ponto de partida para elaboração do módulo a compor o sistema, com três níveis de estratificação, sendo o primeiro nível espécies </w:t>
      </w:r>
      <w:r w:rsidR="00391D60" w:rsidRPr="001D4FC6">
        <w:rPr>
          <w:rFonts w:ascii="Arial" w:hAnsi="Arial" w:cs="Arial"/>
        </w:rPr>
        <w:t>com até</w:t>
      </w:r>
      <w:r w:rsidRPr="001D4FC6">
        <w:rPr>
          <w:rFonts w:ascii="Arial" w:hAnsi="Arial" w:cs="Arial"/>
        </w:rPr>
        <w:t xml:space="preserve"> 4 metros de altura (espécies consideradas pioneiras); o segundo com espécies de até 7 metros (espécies consideradas secundárias inicias e tardias) e o terceiro acima de 7 metros (espécies consideradas clímax).</w:t>
      </w:r>
    </w:p>
    <w:p w14:paraId="7711E51D" w14:textId="77777777" w:rsidR="001D4FC6" w:rsidRPr="001D4FC6" w:rsidRDefault="001D4FC6" w:rsidP="001D4FC6">
      <w:pPr>
        <w:jc w:val="both"/>
        <w:rPr>
          <w:rFonts w:ascii="Arial" w:hAnsi="Arial" w:cs="Arial"/>
        </w:rPr>
      </w:pPr>
    </w:p>
    <w:p w14:paraId="06462D70" w14:textId="048F81E0" w:rsidR="00A715CC" w:rsidRDefault="00A715CC" w:rsidP="001D4FC6">
      <w:pPr>
        <w:jc w:val="both"/>
        <w:rPr>
          <w:rFonts w:ascii="Arial" w:hAnsi="Arial" w:cs="Arial"/>
        </w:rPr>
      </w:pPr>
      <w:r w:rsidRPr="001D4FC6">
        <w:rPr>
          <w:rFonts w:ascii="Arial" w:hAnsi="Arial" w:cs="Arial"/>
        </w:rPr>
        <w:t xml:space="preserve">No primeiro ano de cultivo houve morte de mudas, que tiveram de ser replantadas. Em 2013, devido à fortes geadas, houve nova morte de mudas e então o plantio de mais 260 mudas de espécies nativas e exóticas em espaçamento de 1,8 m seguindo o seguinte módulo: uma espécie de grande porte final, seguida de uma espécie de pequeno porte final, uma espécie de médio porte final e uma espécie de pequeno porte final. No final de 2013 também foi realizado o plantio de mais 23 bananeiras, devido ao elevado crescimento e aporte de biomassa, sendo sistema manejado pelo menos uma vez por ano. </w:t>
      </w:r>
    </w:p>
    <w:p w14:paraId="10761710" w14:textId="77777777" w:rsidR="001D4FC6" w:rsidRPr="001D4FC6" w:rsidRDefault="001D4FC6" w:rsidP="001D4FC6">
      <w:pPr>
        <w:jc w:val="both"/>
        <w:rPr>
          <w:rFonts w:ascii="Arial" w:hAnsi="Arial" w:cs="Arial"/>
        </w:rPr>
      </w:pPr>
    </w:p>
    <w:p w14:paraId="4D49E69F" w14:textId="77777777" w:rsidR="00A715CC" w:rsidRPr="001D4FC6" w:rsidRDefault="00A715CC" w:rsidP="001D4FC6">
      <w:pPr>
        <w:jc w:val="both"/>
        <w:rPr>
          <w:rFonts w:ascii="Arial" w:hAnsi="Arial" w:cs="Arial"/>
        </w:rPr>
      </w:pPr>
      <w:r w:rsidRPr="001D4FC6">
        <w:rPr>
          <w:rFonts w:ascii="Arial" w:hAnsi="Arial" w:cs="Arial"/>
        </w:rPr>
        <w:t xml:space="preserve">A metodologia de avaliação se deu por censo realizado no tempo 0, 4, 5 e 8 anos após a implantação do SAF´s.  A medição utilizada para avaliação de rendimento de madeira foi realizada pela circunferência de colo (C30), com auxílio de fita métrica topográfica, realizado separadamente para grupo de espécies dentro da classificação sucessional, pioneiras, secundárias iniciais e tardias e espécies clímax.  </w:t>
      </w:r>
    </w:p>
    <w:p w14:paraId="41994D60" w14:textId="77777777" w:rsidR="00391D60" w:rsidRPr="001D4FC6" w:rsidRDefault="00391D60" w:rsidP="001D4FC6">
      <w:pPr>
        <w:spacing w:line="360" w:lineRule="auto"/>
        <w:jc w:val="both"/>
        <w:rPr>
          <w:rFonts w:ascii="Arial" w:hAnsi="Arial" w:cs="Arial"/>
          <w:b/>
          <w:bCs/>
        </w:rPr>
      </w:pPr>
    </w:p>
    <w:p w14:paraId="313A34AB" w14:textId="77777777" w:rsidR="00A715CC" w:rsidRPr="001D4FC6" w:rsidRDefault="00A715CC" w:rsidP="001D4FC6">
      <w:pPr>
        <w:jc w:val="both"/>
        <w:rPr>
          <w:rFonts w:ascii="Arial" w:hAnsi="Arial" w:cs="Arial"/>
          <w:b/>
          <w:bCs/>
        </w:rPr>
      </w:pPr>
      <w:r w:rsidRPr="001D4FC6">
        <w:rPr>
          <w:rFonts w:ascii="Arial" w:hAnsi="Arial" w:cs="Arial"/>
          <w:b/>
          <w:bCs/>
        </w:rPr>
        <w:t>Resultados e Discussão</w:t>
      </w:r>
    </w:p>
    <w:p w14:paraId="210340F7" w14:textId="77777777" w:rsidR="00A715CC" w:rsidRPr="001D4FC6" w:rsidRDefault="00A715CC" w:rsidP="001D4FC6">
      <w:pPr>
        <w:jc w:val="both"/>
        <w:rPr>
          <w:rFonts w:ascii="Arial" w:hAnsi="Arial" w:cs="Arial"/>
          <w:b/>
          <w:bCs/>
        </w:rPr>
      </w:pPr>
    </w:p>
    <w:p w14:paraId="14E00A17" w14:textId="77777777" w:rsidR="00A715CC" w:rsidRPr="001D4FC6" w:rsidRDefault="00A715CC" w:rsidP="001D4FC6">
      <w:pPr>
        <w:jc w:val="both"/>
        <w:rPr>
          <w:rFonts w:ascii="Arial" w:hAnsi="Arial" w:cs="Arial"/>
        </w:rPr>
      </w:pPr>
      <w:r w:rsidRPr="001D4FC6">
        <w:rPr>
          <w:rFonts w:ascii="Arial" w:hAnsi="Arial" w:cs="Arial"/>
        </w:rPr>
        <w:t>Na figura 01 estão descritos os resultados referentes as mensurações da circunferência do colo de plantas nas diferentes classificações sucessionais nos diferentes anos.</w:t>
      </w:r>
    </w:p>
    <w:p w14:paraId="71EFDD55" w14:textId="77777777" w:rsidR="00A715CC" w:rsidRPr="001D4FC6" w:rsidRDefault="00A715CC" w:rsidP="001D4FC6">
      <w:pPr>
        <w:jc w:val="both"/>
        <w:rPr>
          <w:rFonts w:ascii="Arial" w:hAnsi="Arial" w:cs="Arial"/>
          <w:b/>
          <w:bCs/>
        </w:rPr>
      </w:pPr>
    </w:p>
    <w:p w14:paraId="1A0B02F0" w14:textId="77777777" w:rsidR="00A715CC" w:rsidRPr="001D4FC6" w:rsidRDefault="00A715CC" w:rsidP="001D4FC6">
      <w:pPr>
        <w:jc w:val="both"/>
        <w:rPr>
          <w:rFonts w:ascii="Arial" w:hAnsi="Arial" w:cs="Arial"/>
        </w:rPr>
      </w:pPr>
    </w:p>
    <w:p w14:paraId="337C6ACF" w14:textId="77777777" w:rsidR="00A715CC" w:rsidRPr="001D4FC6" w:rsidRDefault="008619D1" w:rsidP="001D4FC6">
      <w:pPr>
        <w:ind w:firstLine="709"/>
        <w:jc w:val="both"/>
        <w:rPr>
          <w:rFonts w:ascii="Arial" w:hAnsi="Arial" w:cs="Arial"/>
        </w:rPr>
      </w:pPr>
      <w:r w:rsidRPr="001D4FC6">
        <w:rPr>
          <w:rFonts w:ascii="Arial" w:hAnsi="Arial" w:cs="Arial"/>
          <w:noProof/>
          <w:lang w:eastAsia="pt-BR"/>
        </w:rPr>
        <w:lastRenderedPageBreak/>
        <w:drawing>
          <wp:inline distT="0" distB="0" distL="0" distR="0" wp14:anchorId="541A1786" wp14:editId="080560AD">
            <wp:extent cx="4171950" cy="264795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0" cy="2647950"/>
                    </a:xfrm>
                    <a:prstGeom prst="rect">
                      <a:avLst/>
                    </a:prstGeom>
                    <a:noFill/>
                    <a:ln>
                      <a:noFill/>
                    </a:ln>
                  </pic:spPr>
                </pic:pic>
              </a:graphicData>
            </a:graphic>
          </wp:inline>
        </w:drawing>
      </w:r>
    </w:p>
    <w:p w14:paraId="471A54D3" w14:textId="0352E55C" w:rsidR="00A715CC" w:rsidRPr="001D4FC6" w:rsidRDefault="00A715CC" w:rsidP="001D4FC6">
      <w:pPr>
        <w:jc w:val="both"/>
        <w:rPr>
          <w:rFonts w:ascii="Arial" w:hAnsi="Arial" w:cs="Arial"/>
          <w:bCs/>
          <w:sz w:val="22"/>
          <w:szCs w:val="22"/>
        </w:rPr>
      </w:pPr>
      <w:r w:rsidRPr="001D4FC6">
        <w:rPr>
          <w:rFonts w:ascii="Arial" w:hAnsi="Arial" w:cs="Arial"/>
          <w:b/>
          <w:sz w:val="22"/>
          <w:szCs w:val="22"/>
        </w:rPr>
        <w:t>Figura 1</w:t>
      </w:r>
      <w:r w:rsidR="001D4FC6" w:rsidRPr="001D4FC6">
        <w:rPr>
          <w:rFonts w:ascii="Arial" w:hAnsi="Arial" w:cs="Arial"/>
          <w:b/>
          <w:sz w:val="22"/>
          <w:szCs w:val="22"/>
        </w:rPr>
        <w:t>.</w:t>
      </w:r>
      <w:r w:rsidRPr="001D4FC6">
        <w:rPr>
          <w:rFonts w:ascii="Arial" w:hAnsi="Arial" w:cs="Arial"/>
          <w:bCs/>
          <w:sz w:val="22"/>
          <w:szCs w:val="22"/>
        </w:rPr>
        <w:t xml:space="preserve"> Avaliação da circunferência de colo de plantas em diferentes estágios ecológicos sucessionais em um sistema agroflorestal na região sudoeste do paraná </w:t>
      </w:r>
    </w:p>
    <w:p w14:paraId="04CFB38D" w14:textId="77777777" w:rsidR="00A715CC" w:rsidRPr="001D4FC6" w:rsidRDefault="00A715CC" w:rsidP="001D4FC6">
      <w:pPr>
        <w:spacing w:line="360" w:lineRule="auto"/>
        <w:jc w:val="both"/>
        <w:rPr>
          <w:rFonts w:ascii="Arial" w:hAnsi="Arial" w:cs="Arial"/>
          <w:bCs/>
        </w:rPr>
      </w:pPr>
    </w:p>
    <w:p w14:paraId="2F27DFBF" w14:textId="77777777" w:rsidR="00A715CC" w:rsidRPr="001D4FC6" w:rsidRDefault="00A715CC" w:rsidP="001D4FC6">
      <w:pPr>
        <w:jc w:val="both"/>
        <w:rPr>
          <w:rFonts w:ascii="Arial" w:hAnsi="Arial" w:cs="Arial"/>
          <w:bCs/>
        </w:rPr>
      </w:pPr>
      <w:r w:rsidRPr="001D4FC6">
        <w:rPr>
          <w:rFonts w:ascii="Arial" w:hAnsi="Arial" w:cs="Arial"/>
          <w:bCs/>
        </w:rPr>
        <w:t xml:space="preserve">Os resultados demonstram maiores rendimentos em relação a circunferência de colo </w:t>
      </w:r>
      <w:r w:rsidR="007570CE" w:rsidRPr="001D4FC6">
        <w:rPr>
          <w:rFonts w:ascii="Arial" w:hAnsi="Arial" w:cs="Arial"/>
          <w:bCs/>
        </w:rPr>
        <w:t>em</w:t>
      </w:r>
      <w:r w:rsidR="000A7188" w:rsidRPr="001D4FC6">
        <w:rPr>
          <w:rFonts w:ascii="Arial" w:hAnsi="Arial" w:cs="Arial"/>
          <w:bCs/>
        </w:rPr>
        <w:t xml:space="preserve"> espécies sucessionais</w:t>
      </w:r>
      <w:r w:rsidRPr="001D4FC6">
        <w:rPr>
          <w:rFonts w:ascii="Arial" w:hAnsi="Arial" w:cs="Arial"/>
          <w:bCs/>
        </w:rPr>
        <w:t xml:space="preserve"> secundarias iniciais</w:t>
      </w:r>
      <w:r w:rsidR="00A37AFF" w:rsidRPr="001D4FC6">
        <w:rPr>
          <w:rFonts w:ascii="Arial" w:hAnsi="Arial" w:cs="Arial"/>
          <w:bCs/>
        </w:rPr>
        <w:t xml:space="preserve"> (76)</w:t>
      </w:r>
      <w:r w:rsidRPr="001D4FC6">
        <w:rPr>
          <w:rFonts w:ascii="Arial" w:hAnsi="Arial" w:cs="Arial"/>
          <w:bCs/>
        </w:rPr>
        <w:t xml:space="preserve"> em relação as outras classes avaliadas no sistema agroflorestal (Figura 1). As classes formadas por plantas pioneiras</w:t>
      </w:r>
      <w:r w:rsidR="00A37AFF" w:rsidRPr="001D4FC6">
        <w:rPr>
          <w:rFonts w:ascii="Arial" w:hAnsi="Arial" w:cs="Arial"/>
          <w:bCs/>
        </w:rPr>
        <w:t xml:space="preserve"> (81)</w:t>
      </w:r>
      <w:r w:rsidRPr="001D4FC6">
        <w:rPr>
          <w:rFonts w:ascii="Arial" w:hAnsi="Arial" w:cs="Arial"/>
          <w:bCs/>
        </w:rPr>
        <w:t xml:space="preserve"> e </w:t>
      </w:r>
      <w:r w:rsidR="00391D60" w:rsidRPr="001D4FC6">
        <w:rPr>
          <w:rFonts w:ascii="Arial" w:hAnsi="Arial" w:cs="Arial"/>
          <w:bCs/>
        </w:rPr>
        <w:t>clímax</w:t>
      </w:r>
      <w:r w:rsidRPr="001D4FC6">
        <w:rPr>
          <w:rFonts w:ascii="Arial" w:hAnsi="Arial" w:cs="Arial"/>
          <w:bCs/>
        </w:rPr>
        <w:t xml:space="preserve"> </w:t>
      </w:r>
      <w:r w:rsidR="00A37AFF" w:rsidRPr="001D4FC6">
        <w:rPr>
          <w:rFonts w:ascii="Arial" w:hAnsi="Arial" w:cs="Arial"/>
          <w:bCs/>
        </w:rPr>
        <w:t xml:space="preserve">(90) </w:t>
      </w:r>
      <w:r w:rsidRPr="001D4FC6">
        <w:rPr>
          <w:rFonts w:ascii="Arial" w:hAnsi="Arial" w:cs="Arial"/>
          <w:bCs/>
        </w:rPr>
        <w:t xml:space="preserve">apresentaram comportamento semelhante ao longo do tempo de avaliação (Figura 1). A classe com menor desempenho em relação a circunferência de colo foi aquela formada por espécies secundárias tardias </w:t>
      </w:r>
      <w:r w:rsidR="00A37AFF" w:rsidRPr="001D4FC6">
        <w:rPr>
          <w:rFonts w:ascii="Arial" w:hAnsi="Arial" w:cs="Arial"/>
          <w:bCs/>
        </w:rPr>
        <w:t xml:space="preserve">(102) </w:t>
      </w:r>
      <w:r w:rsidRPr="001D4FC6">
        <w:rPr>
          <w:rFonts w:ascii="Arial" w:hAnsi="Arial" w:cs="Arial"/>
          <w:bCs/>
        </w:rPr>
        <w:t xml:space="preserve">(Figura 1). Estes resultados demonstram que o manejo e a organização dos sistemas agroflorestais </w:t>
      </w:r>
      <w:r w:rsidR="001C335D" w:rsidRPr="001D4FC6">
        <w:rPr>
          <w:rFonts w:ascii="Arial" w:hAnsi="Arial" w:cs="Arial"/>
          <w:bCs/>
        </w:rPr>
        <w:t>sucessionais com este planejamento de implantação e condução com esta idade</w:t>
      </w:r>
      <w:r w:rsidRPr="001D4FC6">
        <w:rPr>
          <w:rFonts w:ascii="Arial" w:hAnsi="Arial" w:cs="Arial"/>
          <w:bCs/>
        </w:rPr>
        <w:t xml:space="preserve"> favoreceu o desenvolvimento de espécies secundárias iniciais em relação as demais classes sucessionais. Segundo Odum (2002)</w:t>
      </w:r>
      <w:r w:rsidRPr="001D4FC6">
        <w:rPr>
          <w:rFonts w:ascii="Arial" w:hAnsi="Arial" w:cs="Arial"/>
        </w:rPr>
        <w:t xml:space="preserve"> </w:t>
      </w:r>
      <w:r w:rsidRPr="001D4FC6">
        <w:rPr>
          <w:rFonts w:ascii="Arial" w:hAnsi="Arial" w:cs="Arial"/>
          <w:bCs/>
        </w:rPr>
        <w:t xml:space="preserve">cada etapa da sucessão exige uma condição de ambiente distinta, para que as espécies restabeleçam em determinada etapa, se dispondo de uma série de estratégias de adaptações que venham a facilitar sua sobrevivência e a reprodução dentro da sucessão de ambientes. Deste modo a classe sucessional secundárias iniciais apresentaram melhor adaptação as condições edafoclimáticas </w:t>
      </w:r>
      <w:r w:rsidR="001C335D" w:rsidRPr="001D4FC6">
        <w:rPr>
          <w:rFonts w:ascii="Arial" w:hAnsi="Arial" w:cs="Arial"/>
          <w:bCs/>
        </w:rPr>
        <w:t xml:space="preserve">atualmente </w:t>
      </w:r>
      <w:r w:rsidRPr="001D4FC6">
        <w:rPr>
          <w:rFonts w:ascii="Arial" w:hAnsi="Arial" w:cs="Arial"/>
          <w:bCs/>
        </w:rPr>
        <w:t>existente</w:t>
      </w:r>
      <w:r w:rsidR="001C335D" w:rsidRPr="001D4FC6">
        <w:rPr>
          <w:rFonts w:ascii="Arial" w:hAnsi="Arial" w:cs="Arial"/>
          <w:bCs/>
        </w:rPr>
        <w:t>s</w:t>
      </w:r>
      <w:r w:rsidRPr="001D4FC6">
        <w:rPr>
          <w:rFonts w:ascii="Arial" w:hAnsi="Arial" w:cs="Arial"/>
          <w:bCs/>
        </w:rPr>
        <w:t xml:space="preserve"> no SAF em relação </w:t>
      </w:r>
      <w:r w:rsidR="001C335D" w:rsidRPr="001D4FC6">
        <w:rPr>
          <w:rFonts w:ascii="Arial" w:hAnsi="Arial" w:cs="Arial"/>
          <w:bCs/>
        </w:rPr>
        <w:t>as demais classes sucessionais, mesmo com o menor número de indivíduos representantes (76) dentre os outros grupos de sucessão.</w:t>
      </w:r>
    </w:p>
    <w:p w14:paraId="27BF6CB8" w14:textId="77777777" w:rsidR="00A715CC" w:rsidRPr="001D4FC6" w:rsidRDefault="00A715CC" w:rsidP="001D4FC6">
      <w:pPr>
        <w:spacing w:line="360" w:lineRule="auto"/>
        <w:jc w:val="both"/>
        <w:rPr>
          <w:rFonts w:ascii="Arial" w:hAnsi="Arial" w:cs="Arial"/>
          <w:b/>
          <w:bCs/>
          <w:sz w:val="22"/>
        </w:rPr>
      </w:pPr>
    </w:p>
    <w:p w14:paraId="75BA8982" w14:textId="77777777" w:rsidR="00A715CC" w:rsidRPr="001D4FC6" w:rsidRDefault="00A715CC" w:rsidP="001D4FC6">
      <w:pPr>
        <w:jc w:val="both"/>
        <w:rPr>
          <w:rFonts w:ascii="Arial" w:hAnsi="Arial" w:cs="Arial"/>
          <w:b/>
          <w:bCs/>
        </w:rPr>
      </w:pPr>
      <w:r w:rsidRPr="001D4FC6">
        <w:rPr>
          <w:rFonts w:ascii="Arial" w:hAnsi="Arial" w:cs="Arial"/>
          <w:b/>
          <w:bCs/>
        </w:rPr>
        <w:t>Conclusões</w:t>
      </w:r>
    </w:p>
    <w:p w14:paraId="103A490D" w14:textId="77777777" w:rsidR="00A715CC" w:rsidRPr="001D4FC6" w:rsidRDefault="00A715CC" w:rsidP="001D4FC6">
      <w:pPr>
        <w:numPr>
          <w:ilvl w:val="0"/>
          <w:numId w:val="1"/>
        </w:numPr>
        <w:jc w:val="both"/>
        <w:rPr>
          <w:rFonts w:ascii="Arial" w:hAnsi="Arial" w:cs="Arial"/>
          <w:bCs/>
        </w:rPr>
      </w:pPr>
    </w:p>
    <w:p w14:paraId="27111EE9" w14:textId="77777777" w:rsidR="00A715CC" w:rsidRPr="001D4FC6" w:rsidRDefault="00A715CC" w:rsidP="001D4FC6">
      <w:pPr>
        <w:tabs>
          <w:tab w:val="left" w:pos="0"/>
        </w:tabs>
        <w:jc w:val="both"/>
        <w:rPr>
          <w:rFonts w:ascii="Arial" w:hAnsi="Arial" w:cs="Arial"/>
          <w:bCs/>
        </w:rPr>
      </w:pPr>
      <w:r w:rsidRPr="001D4FC6">
        <w:rPr>
          <w:rFonts w:ascii="Arial" w:hAnsi="Arial" w:cs="Arial"/>
          <w:bCs/>
        </w:rPr>
        <w:t>As mudanças edafoclimáticas promovidas pelo sistema agroflorestal sucessional, favoreceram espécies de plantas secundárias iniciais em relação as demais plantas pertencentes a demais classes ecológicas de sucessão. Para que tenhamos um maior increment</w:t>
      </w:r>
      <w:r w:rsidR="001C335D" w:rsidRPr="001D4FC6">
        <w:rPr>
          <w:rFonts w:ascii="Arial" w:hAnsi="Arial" w:cs="Arial"/>
          <w:bCs/>
        </w:rPr>
        <w:t xml:space="preserve">o de sequestro de carbono em </w:t>
      </w:r>
      <w:r w:rsidRPr="001D4FC6">
        <w:rPr>
          <w:rFonts w:ascii="Arial" w:hAnsi="Arial" w:cs="Arial"/>
          <w:bCs/>
        </w:rPr>
        <w:t xml:space="preserve">sistema </w:t>
      </w:r>
      <w:r w:rsidR="001C335D" w:rsidRPr="001D4FC6">
        <w:rPr>
          <w:rFonts w:ascii="Arial" w:hAnsi="Arial" w:cs="Arial"/>
          <w:bCs/>
        </w:rPr>
        <w:t xml:space="preserve">agroflorestal com características semelhantes </w:t>
      </w:r>
      <w:r w:rsidRPr="001D4FC6">
        <w:rPr>
          <w:rFonts w:ascii="Arial" w:hAnsi="Arial" w:cs="Arial"/>
          <w:bCs/>
        </w:rPr>
        <w:t>devemos assim priorizar espécies secundárias inicia</w:t>
      </w:r>
      <w:r w:rsidR="001C335D" w:rsidRPr="001D4FC6">
        <w:rPr>
          <w:rFonts w:ascii="Arial" w:hAnsi="Arial" w:cs="Arial"/>
          <w:bCs/>
        </w:rPr>
        <w:t>i</w:t>
      </w:r>
      <w:r w:rsidRPr="001D4FC6">
        <w:rPr>
          <w:rFonts w:ascii="Arial" w:hAnsi="Arial" w:cs="Arial"/>
          <w:bCs/>
        </w:rPr>
        <w:t>s devido sua melhor ada</w:t>
      </w:r>
      <w:r w:rsidR="001C335D" w:rsidRPr="001D4FC6">
        <w:rPr>
          <w:rFonts w:ascii="Arial" w:hAnsi="Arial" w:cs="Arial"/>
          <w:bCs/>
        </w:rPr>
        <w:t xml:space="preserve">ptação às condições edafoclimáticas promovidas pela região e alteradas, em escala local, </w:t>
      </w:r>
      <w:r w:rsidR="00391D60" w:rsidRPr="001D4FC6">
        <w:rPr>
          <w:rFonts w:ascii="Arial" w:hAnsi="Arial" w:cs="Arial"/>
          <w:bCs/>
        </w:rPr>
        <w:t>pelo próprio desenvolvimento do SAF.</w:t>
      </w:r>
    </w:p>
    <w:p w14:paraId="56DBAA68" w14:textId="77777777" w:rsidR="00A715CC" w:rsidRPr="001D4FC6" w:rsidRDefault="00A715CC" w:rsidP="001D4FC6">
      <w:pPr>
        <w:tabs>
          <w:tab w:val="left" w:pos="0"/>
        </w:tabs>
        <w:spacing w:line="360" w:lineRule="auto"/>
        <w:jc w:val="both"/>
        <w:rPr>
          <w:rFonts w:ascii="Arial" w:hAnsi="Arial" w:cs="Arial"/>
          <w:bCs/>
        </w:rPr>
      </w:pPr>
    </w:p>
    <w:p w14:paraId="442548D9" w14:textId="77777777" w:rsidR="00A715CC" w:rsidRPr="001D4FC6" w:rsidRDefault="00A715CC" w:rsidP="001D4FC6">
      <w:pPr>
        <w:jc w:val="both"/>
        <w:rPr>
          <w:rFonts w:ascii="Arial" w:hAnsi="Arial" w:cs="Arial"/>
          <w:b/>
          <w:bCs/>
        </w:rPr>
      </w:pPr>
      <w:r w:rsidRPr="001D4FC6">
        <w:rPr>
          <w:rFonts w:ascii="Arial" w:hAnsi="Arial" w:cs="Arial"/>
          <w:b/>
          <w:bCs/>
        </w:rPr>
        <w:t>Agradecimentos</w:t>
      </w:r>
    </w:p>
    <w:p w14:paraId="65688A57" w14:textId="77777777" w:rsidR="00B81126" w:rsidRPr="001D4FC6" w:rsidRDefault="00B81126" w:rsidP="001D4FC6">
      <w:pPr>
        <w:jc w:val="both"/>
        <w:rPr>
          <w:rFonts w:ascii="Arial" w:hAnsi="Arial" w:cs="Arial"/>
          <w:b/>
          <w:bCs/>
        </w:rPr>
      </w:pPr>
    </w:p>
    <w:p w14:paraId="76901FD1" w14:textId="77777777" w:rsidR="00B81126" w:rsidRPr="001D4FC6" w:rsidRDefault="00B81126" w:rsidP="001D4FC6">
      <w:pPr>
        <w:jc w:val="both"/>
        <w:rPr>
          <w:rFonts w:ascii="Arial" w:hAnsi="Arial" w:cs="Arial"/>
          <w:bCs/>
        </w:rPr>
      </w:pPr>
      <w:r w:rsidRPr="001D4FC6">
        <w:rPr>
          <w:rFonts w:ascii="Arial" w:hAnsi="Arial" w:cs="Arial"/>
          <w:bCs/>
        </w:rPr>
        <w:t>Ao CNPq, pelo investimento.</w:t>
      </w:r>
    </w:p>
    <w:p w14:paraId="12218A91" w14:textId="77777777" w:rsidR="00A715CC" w:rsidRPr="001D4FC6" w:rsidRDefault="00A715CC" w:rsidP="001D4FC6">
      <w:pPr>
        <w:spacing w:line="360" w:lineRule="auto"/>
        <w:jc w:val="both"/>
        <w:rPr>
          <w:rFonts w:ascii="Arial" w:hAnsi="Arial" w:cs="Arial"/>
          <w:bCs/>
        </w:rPr>
      </w:pPr>
    </w:p>
    <w:p w14:paraId="2BCD970C" w14:textId="77777777" w:rsidR="00A715CC" w:rsidRPr="001D4FC6" w:rsidRDefault="00A715CC" w:rsidP="001D4FC6">
      <w:pPr>
        <w:jc w:val="both"/>
        <w:rPr>
          <w:rFonts w:ascii="Arial" w:hAnsi="Arial" w:cs="Arial"/>
          <w:b/>
          <w:bCs/>
        </w:rPr>
      </w:pPr>
      <w:r w:rsidRPr="001D4FC6">
        <w:rPr>
          <w:rFonts w:ascii="Arial" w:hAnsi="Arial" w:cs="Arial"/>
          <w:b/>
          <w:bCs/>
        </w:rPr>
        <w:t>Referências bibliográficas</w:t>
      </w:r>
    </w:p>
    <w:p w14:paraId="09286DF2" w14:textId="77777777" w:rsidR="00A715CC" w:rsidRPr="001D4FC6" w:rsidRDefault="00A715CC" w:rsidP="001D4FC6">
      <w:pPr>
        <w:jc w:val="both"/>
        <w:rPr>
          <w:rFonts w:ascii="Arial" w:hAnsi="Arial" w:cs="Arial"/>
          <w:b/>
          <w:bCs/>
        </w:rPr>
      </w:pPr>
    </w:p>
    <w:p w14:paraId="6F0E946F" w14:textId="77777777" w:rsidR="00A715CC" w:rsidRPr="001D4FC6" w:rsidRDefault="00A715CC" w:rsidP="001D4FC6">
      <w:pPr>
        <w:jc w:val="both"/>
        <w:rPr>
          <w:rFonts w:ascii="Arial" w:hAnsi="Arial" w:cs="Arial"/>
        </w:rPr>
      </w:pPr>
      <w:r w:rsidRPr="001D4FC6">
        <w:rPr>
          <w:rFonts w:ascii="Arial" w:hAnsi="Arial" w:cs="Arial"/>
        </w:rPr>
        <w:t xml:space="preserve">FERREIRA, P. S.; et al. </w:t>
      </w:r>
      <w:r w:rsidRPr="001D4FC6">
        <w:rPr>
          <w:rFonts w:ascii="Arial" w:hAnsi="Arial" w:cs="Arial"/>
          <w:b/>
          <w:bCs/>
        </w:rPr>
        <w:t>As perspectivas e divergências acerca do aquecimento global antropogênico</w:t>
      </w:r>
      <w:r w:rsidRPr="001D4FC6">
        <w:rPr>
          <w:rFonts w:ascii="Arial" w:hAnsi="Arial" w:cs="Arial"/>
        </w:rPr>
        <w:t xml:space="preserve">. Caderno de Geografia, v.27, n.51, 2017. </w:t>
      </w:r>
    </w:p>
    <w:p w14:paraId="1D615705" w14:textId="77777777" w:rsidR="00A715CC" w:rsidRPr="001D4FC6" w:rsidRDefault="00A715CC" w:rsidP="001D4FC6">
      <w:pPr>
        <w:jc w:val="both"/>
        <w:rPr>
          <w:rFonts w:ascii="Arial" w:hAnsi="Arial" w:cs="Arial"/>
        </w:rPr>
      </w:pPr>
    </w:p>
    <w:p w14:paraId="3A54157C" w14:textId="77777777" w:rsidR="00A715CC" w:rsidRPr="001D4FC6" w:rsidRDefault="00A715CC" w:rsidP="001D4FC6">
      <w:pPr>
        <w:jc w:val="both"/>
        <w:rPr>
          <w:rFonts w:ascii="Arial" w:hAnsi="Arial" w:cs="Arial"/>
        </w:rPr>
      </w:pPr>
      <w:r w:rsidRPr="001D4FC6">
        <w:rPr>
          <w:rFonts w:ascii="Arial" w:hAnsi="Arial" w:cs="Arial"/>
        </w:rPr>
        <w:t xml:space="preserve">LEAL, R. A.; et al. </w:t>
      </w:r>
      <w:r w:rsidRPr="001D4FC6">
        <w:rPr>
          <w:rFonts w:ascii="Arial" w:hAnsi="Arial" w:cs="Arial"/>
          <w:b/>
          <w:bCs/>
        </w:rPr>
        <w:t>Ciclos Econômicos e Emissão de CO2 no Brasil: Uma Análise Dinâmica para Políticas Ambientais Ótimas</w:t>
      </w:r>
      <w:r w:rsidRPr="001D4FC6">
        <w:rPr>
          <w:rFonts w:ascii="Arial" w:hAnsi="Arial" w:cs="Arial"/>
        </w:rPr>
        <w:t xml:space="preserve">. Revista Brasileira de Economia. v. 69, n. 1, p. 53–73, 2015. </w:t>
      </w:r>
      <w:r w:rsidRPr="001D4FC6">
        <w:rPr>
          <w:rFonts w:ascii="Arial" w:hAnsi="Arial" w:cs="Arial"/>
        </w:rPr>
        <w:cr/>
      </w:r>
    </w:p>
    <w:p w14:paraId="46C91881" w14:textId="77777777" w:rsidR="00A715CC" w:rsidRPr="001D4FC6" w:rsidRDefault="00A715CC" w:rsidP="001D4FC6">
      <w:pPr>
        <w:jc w:val="both"/>
        <w:rPr>
          <w:rFonts w:ascii="Arial" w:hAnsi="Arial" w:cs="Arial"/>
          <w:bCs/>
        </w:rPr>
      </w:pPr>
      <w:r w:rsidRPr="001D4FC6">
        <w:rPr>
          <w:rFonts w:ascii="Arial" w:hAnsi="Arial" w:cs="Arial"/>
          <w:bCs/>
        </w:rPr>
        <w:t xml:space="preserve">ODUM, E. P. </w:t>
      </w:r>
      <w:r w:rsidRPr="001D4FC6">
        <w:rPr>
          <w:rFonts w:ascii="Arial" w:hAnsi="Arial" w:cs="Arial"/>
          <w:b/>
        </w:rPr>
        <w:t>Fundamentos de Ecologia</w:t>
      </w:r>
      <w:r w:rsidRPr="001D4FC6">
        <w:rPr>
          <w:rFonts w:ascii="Arial" w:hAnsi="Arial" w:cs="Arial"/>
          <w:bCs/>
        </w:rPr>
        <w:t>. Lisboa, Fundação Calouste Golbenkian. 927p., 2001.</w:t>
      </w:r>
    </w:p>
    <w:p w14:paraId="2BBDDA44" w14:textId="77777777" w:rsidR="00A715CC" w:rsidRPr="001D4FC6" w:rsidRDefault="00A715CC" w:rsidP="001D4FC6">
      <w:pPr>
        <w:jc w:val="both"/>
        <w:rPr>
          <w:rFonts w:ascii="Arial" w:hAnsi="Arial" w:cs="Arial"/>
          <w:bCs/>
        </w:rPr>
      </w:pPr>
    </w:p>
    <w:p w14:paraId="2D6B2E88" w14:textId="77777777" w:rsidR="00A715CC" w:rsidRPr="001D4FC6" w:rsidRDefault="00A715CC" w:rsidP="001D4FC6">
      <w:pPr>
        <w:jc w:val="both"/>
        <w:rPr>
          <w:rFonts w:ascii="Arial" w:hAnsi="Arial" w:cs="Arial"/>
        </w:rPr>
      </w:pPr>
      <w:r w:rsidRPr="001D4FC6">
        <w:rPr>
          <w:rFonts w:ascii="Arial" w:hAnsi="Arial" w:cs="Arial"/>
        </w:rPr>
        <w:t xml:space="preserve">PALUDO, R.; COSTABEBER, J. A. </w:t>
      </w:r>
      <w:r w:rsidRPr="001D4FC6">
        <w:rPr>
          <w:rFonts w:ascii="Arial" w:hAnsi="Arial" w:cs="Arial"/>
          <w:b/>
          <w:bCs/>
        </w:rPr>
        <w:t>Sistemas agroflorestais como estratégia de desenvolvimento rural em diferentes biomas brasileiros.</w:t>
      </w:r>
      <w:r w:rsidRPr="001D4FC6">
        <w:rPr>
          <w:rFonts w:ascii="Arial" w:hAnsi="Arial" w:cs="Arial"/>
        </w:rPr>
        <w:t xml:space="preserve"> Revista Brasileira de Agroecologia. V.7, n.2, p. 63-76, 2012.</w:t>
      </w:r>
    </w:p>
    <w:p w14:paraId="03E4EA5B" w14:textId="77777777" w:rsidR="00A715CC" w:rsidRPr="001D4FC6" w:rsidRDefault="00A715CC" w:rsidP="001D4FC6">
      <w:pPr>
        <w:jc w:val="both"/>
        <w:rPr>
          <w:rFonts w:ascii="Arial" w:hAnsi="Arial" w:cs="Arial"/>
        </w:rPr>
      </w:pPr>
    </w:p>
    <w:p w14:paraId="7FFF5B74" w14:textId="77777777" w:rsidR="00A715CC" w:rsidRPr="001D4FC6" w:rsidRDefault="00A715CC" w:rsidP="001D4FC6">
      <w:pPr>
        <w:jc w:val="both"/>
        <w:rPr>
          <w:rFonts w:ascii="Arial" w:hAnsi="Arial" w:cs="Arial"/>
        </w:rPr>
      </w:pPr>
      <w:r w:rsidRPr="001D4FC6">
        <w:rPr>
          <w:rFonts w:ascii="Arial" w:hAnsi="Arial" w:cs="Arial"/>
        </w:rPr>
        <w:t xml:space="preserve">SANQUETA, C. R. </w:t>
      </w:r>
      <w:r w:rsidRPr="001D4FC6">
        <w:rPr>
          <w:rFonts w:ascii="Arial" w:hAnsi="Arial" w:cs="Arial"/>
          <w:b/>
          <w:bCs/>
        </w:rPr>
        <w:t xml:space="preserve">Métodos de determinação de biomassa florestal. </w:t>
      </w:r>
      <w:r w:rsidRPr="001D4FC6">
        <w:rPr>
          <w:rFonts w:ascii="Arial" w:hAnsi="Arial" w:cs="Arial"/>
        </w:rPr>
        <w:t xml:space="preserve">In: SANQUETTA, C. R. et al. (Eds.). </w:t>
      </w:r>
      <w:r w:rsidRPr="001D4FC6">
        <w:rPr>
          <w:rFonts w:ascii="Arial" w:hAnsi="Arial" w:cs="Arial"/>
          <w:b/>
          <w:bCs/>
        </w:rPr>
        <w:t>As florestas e o carbono</w:t>
      </w:r>
      <w:r w:rsidRPr="001D4FC6">
        <w:rPr>
          <w:rFonts w:ascii="Arial" w:hAnsi="Arial" w:cs="Arial"/>
        </w:rPr>
        <w:t>. Curitiba: Imprensa Universitária da UFPR, 2002. p. 119-140.</w:t>
      </w:r>
    </w:p>
    <w:p w14:paraId="02646C67" w14:textId="77777777" w:rsidR="00A715CC" w:rsidRPr="001D4FC6" w:rsidRDefault="00A715CC" w:rsidP="001D4FC6">
      <w:pPr>
        <w:jc w:val="both"/>
        <w:rPr>
          <w:rFonts w:ascii="Arial" w:hAnsi="Arial" w:cs="Arial"/>
        </w:rPr>
      </w:pPr>
    </w:p>
    <w:p w14:paraId="619F5740" w14:textId="77777777" w:rsidR="00A715CC" w:rsidRPr="001D4FC6" w:rsidRDefault="00A715CC" w:rsidP="001D4FC6">
      <w:pPr>
        <w:jc w:val="both"/>
        <w:rPr>
          <w:rFonts w:ascii="Arial" w:hAnsi="Arial" w:cs="Arial"/>
        </w:rPr>
      </w:pPr>
      <w:r w:rsidRPr="001D4FC6">
        <w:rPr>
          <w:rFonts w:ascii="Arial" w:hAnsi="Arial" w:cs="Arial"/>
        </w:rPr>
        <w:t xml:space="preserve">SILVA, M.L. da; JACOVINE, L.A.G.; VALVERDE, S.R. </w:t>
      </w:r>
      <w:r w:rsidRPr="001D4FC6">
        <w:rPr>
          <w:rFonts w:ascii="Arial" w:hAnsi="Arial" w:cs="Arial"/>
          <w:b/>
          <w:bCs/>
        </w:rPr>
        <w:t>Oportunidades para o Setor Florestal Brasileiro com o advento do Mercado de Créditos de Carbono</w:t>
      </w:r>
      <w:r w:rsidRPr="001D4FC6">
        <w:rPr>
          <w:rFonts w:ascii="Arial" w:hAnsi="Arial" w:cs="Arial"/>
        </w:rPr>
        <w:t>. Revista Ação Ambiental, nº 21, p. 14-15, 2001.</w:t>
      </w:r>
    </w:p>
    <w:p w14:paraId="38E3160F" w14:textId="77777777" w:rsidR="00324604" w:rsidRPr="001D4FC6" w:rsidRDefault="00324604" w:rsidP="001D4FC6">
      <w:pPr>
        <w:jc w:val="both"/>
        <w:rPr>
          <w:rFonts w:ascii="Arial" w:hAnsi="Arial" w:cs="Arial"/>
        </w:rPr>
      </w:pPr>
    </w:p>
    <w:p w14:paraId="7AD205D4" w14:textId="77777777" w:rsidR="00324604" w:rsidRPr="001D4FC6" w:rsidRDefault="00324604" w:rsidP="001D4FC6">
      <w:pPr>
        <w:jc w:val="both"/>
        <w:rPr>
          <w:rFonts w:ascii="Arial" w:hAnsi="Arial" w:cs="Arial"/>
        </w:rPr>
      </w:pPr>
      <w:r w:rsidRPr="001D4FC6">
        <w:rPr>
          <w:rFonts w:ascii="Arial" w:hAnsi="Arial" w:cs="Arial"/>
        </w:rPr>
        <w:t xml:space="preserve">YU, C. M. </w:t>
      </w:r>
      <w:r w:rsidRPr="001D4FC6">
        <w:rPr>
          <w:rFonts w:ascii="Arial" w:hAnsi="Arial" w:cs="Arial"/>
          <w:b/>
        </w:rPr>
        <w:t>Sequestro florestal de carbono no Brasil – dimensões políticas, socioeconômicas e ecológicas.</w:t>
      </w:r>
      <w:r w:rsidRPr="001D4FC6">
        <w:rPr>
          <w:rFonts w:ascii="Arial" w:hAnsi="Arial" w:cs="Arial"/>
        </w:rPr>
        <w:t xml:space="preserve"> 2004. Tese (Doutorado) – Universidade Federal do Paraná, Curitiba, 2004.</w:t>
      </w:r>
    </w:p>
    <w:p w14:paraId="663681B0" w14:textId="77777777" w:rsidR="00C54126" w:rsidRPr="001D4FC6" w:rsidRDefault="00C54126" w:rsidP="001D4FC6">
      <w:pPr>
        <w:rPr>
          <w:rFonts w:ascii="Arial" w:hAnsi="Arial" w:cs="Arial"/>
        </w:rPr>
      </w:pPr>
    </w:p>
    <w:sectPr w:rsidR="00C54126" w:rsidRPr="001D4FC6" w:rsidSect="008D7D48">
      <w:headerReference w:type="default" r:id="rId14"/>
      <w:footerReference w:type="default" r:id="rId15"/>
      <w:pgSz w:w="11906" w:h="16838"/>
      <w:pgMar w:top="1418" w:right="1418" w:bottom="1418" w:left="1418"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4D7C1" w14:textId="77777777" w:rsidR="00080B28" w:rsidRDefault="00080B28">
      <w:r>
        <w:separator/>
      </w:r>
    </w:p>
  </w:endnote>
  <w:endnote w:type="continuationSeparator" w:id="0">
    <w:p w14:paraId="2E48B4CF" w14:textId="77777777" w:rsidR="00080B28" w:rsidRDefault="00080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945F9" w14:textId="00838AF6" w:rsidR="001D4FC6" w:rsidRPr="001D4FC6" w:rsidRDefault="001D4FC6" w:rsidP="001D4FC6">
    <w:pPr>
      <w:pStyle w:val="Rodap"/>
      <w:jc w:val="both"/>
      <w:rPr>
        <w:rFonts w:ascii="Arial" w:hAnsi="Arial" w:cs="Arial"/>
      </w:rPr>
    </w:pPr>
    <w:r w:rsidRPr="001D4FC6">
      <w:rPr>
        <w:rFonts w:ascii="Arial" w:hAnsi="Arial" w:cs="Arial"/>
      </w:rPr>
      <w:t>Cadernos de Agroecologia – ISSN 2236-7934 - Anais do XI Congresso Brasileiro de Agroecologia, São Cristóvão, Sergipe - v. 15, no 2,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8CE75" w14:textId="77777777" w:rsidR="00080B28" w:rsidRDefault="00080B28">
      <w:r>
        <w:separator/>
      </w:r>
    </w:p>
  </w:footnote>
  <w:footnote w:type="continuationSeparator" w:id="0">
    <w:p w14:paraId="70F580F4" w14:textId="77777777" w:rsidR="00080B28" w:rsidRDefault="00080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42" w:type="dxa"/>
      <w:tblLayout w:type="fixed"/>
      <w:tblCellMar>
        <w:left w:w="0" w:type="dxa"/>
        <w:right w:w="0" w:type="dxa"/>
      </w:tblCellMar>
      <w:tblLook w:val="0000" w:firstRow="0" w:lastRow="0" w:firstColumn="0" w:lastColumn="0" w:noHBand="0" w:noVBand="0"/>
    </w:tblPr>
    <w:tblGrid>
      <w:gridCol w:w="23"/>
      <w:gridCol w:w="9191"/>
      <w:gridCol w:w="23"/>
    </w:tblGrid>
    <w:tr w:rsidR="00C54126" w14:paraId="16038144" w14:textId="77777777">
      <w:trPr>
        <w:trHeight w:val="987"/>
      </w:trPr>
      <w:tc>
        <w:tcPr>
          <w:tcW w:w="23" w:type="dxa"/>
          <w:shd w:val="clear" w:color="auto" w:fill="auto"/>
          <w:vAlign w:val="center"/>
        </w:tcPr>
        <w:p w14:paraId="0456178C" w14:textId="77777777" w:rsidR="00C54126" w:rsidRDefault="00C54126">
          <w:pPr>
            <w:pStyle w:val="Cabealho"/>
            <w:tabs>
              <w:tab w:val="left" w:pos="0"/>
            </w:tabs>
            <w:snapToGrid w:val="0"/>
            <w:ind w:right="235"/>
            <w:rPr>
              <w:lang w:val="pt-BR"/>
            </w:rPr>
          </w:pPr>
        </w:p>
      </w:tc>
      <w:tc>
        <w:tcPr>
          <w:tcW w:w="9191" w:type="dxa"/>
          <w:shd w:val="clear" w:color="auto" w:fill="auto"/>
          <w:vAlign w:val="center"/>
        </w:tcPr>
        <w:p w14:paraId="75D1FBC5" w14:textId="77777777" w:rsidR="00C54126" w:rsidRDefault="008619D1">
          <w:pPr>
            <w:pStyle w:val="Cabealho"/>
            <w:snapToGrid w:val="0"/>
            <w:spacing w:line="276" w:lineRule="auto"/>
            <w:ind w:left="122" w:hanging="142"/>
            <w:jc w:val="center"/>
            <w:rPr>
              <w:lang w:val="pt-BR"/>
            </w:rPr>
          </w:pPr>
          <w:r>
            <w:rPr>
              <w:noProof/>
              <w:lang w:val="pt-BR" w:eastAsia="pt-BR"/>
            </w:rPr>
            <w:drawing>
              <wp:inline distT="0" distB="0" distL="0" distR="0" wp14:anchorId="378ECD35" wp14:editId="7C633B06">
                <wp:extent cx="5829300" cy="1000125"/>
                <wp:effectExtent l="0" t="0" r="0" b="0"/>
                <wp:docPr id="2" name="Imagem 2" descr="timbrado-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brado-to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9300" cy="1000125"/>
                        </a:xfrm>
                        <a:prstGeom prst="rect">
                          <a:avLst/>
                        </a:prstGeom>
                        <a:noFill/>
                        <a:ln>
                          <a:noFill/>
                        </a:ln>
                      </pic:spPr>
                    </pic:pic>
                  </a:graphicData>
                </a:graphic>
              </wp:inline>
            </w:drawing>
          </w:r>
        </w:p>
      </w:tc>
      <w:tc>
        <w:tcPr>
          <w:tcW w:w="23" w:type="dxa"/>
          <w:shd w:val="clear" w:color="auto" w:fill="auto"/>
        </w:tcPr>
        <w:p w14:paraId="13B4B153" w14:textId="77777777" w:rsidR="00C54126" w:rsidRDefault="00C54126">
          <w:pPr>
            <w:pStyle w:val="Cabealho"/>
            <w:jc w:val="center"/>
            <w:rPr>
              <w:rFonts w:ascii="Arial Narrow" w:hAnsi="Arial Narrow" w:cs="Arial"/>
              <w:b/>
              <w:sz w:val="28"/>
              <w:szCs w:val="28"/>
              <w:lang w:val="pt-BR"/>
            </w:rPr>
          </w:pPr>
        </w:p>
      </w:tc>
    </w:tr>
  </w:tbl>
  <w:p w14:paraId="1F82C574" w14:textId="77777777" w:rsidR="00C54126" w:rsidRDefault="00C5412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rPr>
        <w:rFonts w:ascii="Wingdings" w:hAnsi="Wingdings" w:cs="Wingdings"/>
      </w:r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rPr>
        <w:rFonts w:ascii="Symbol" w:hAnsi="Symbol" w:cs="Symbol"/>
      </w:rPr>
    </w:lvl>
    <w:lvl w:ilvl="4">
      <w:start w:val="1"/>
      <w:numFmt w:val="none"/>
      <w:pStyle w:val="Ttulo5"/>
      <w:suff w:val="nothing"/>
      <w:lvlText w:val=""/>
      <w:lvlJc w:val="left"/>
      <w:pPr>
        <w:tabs>
          <w:tab w:val="num" w:pos="0"/>
        </w:tabs>
        <w:ind w:left="0" w:firstLine="0"/>
      </w:pPr>
      <w:rPr>
        <w:rFonts w:ascii="Courier New" w:hAnsi="Courier New" w:cs="Courier New"/>
      </w:r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E02"/>
    <w:rsid w:val="000046D1"/>
    <w:rsid w:val="00006228"/>
    <w:rsid w:val="000117B0"/>
    <w:rsid w:val="00012E56"/>
    <w:rsid w:val="0001319B"/>
    <w:rsid w:val="000322A8"/>
    <w:rsid w:val="00037DD0"/>
    <w:rsid w:val="00047873"/>
    <w:rsid w:val="00052B3E"/>
    <w:rsid w:val="000622D8"/>
    <w:rsid w:val="00080B28"/>
    <w:rsid w:val="00093D6C"/>
    <w:rsid w:val="000A7188"/>
    <w:rsid w:val="000B4E82"/>
    <w:rsid w:val="00145938"/>
    <w:rsid w:val="00170EF3"/>
    <w:rsid w:val="00197EA7"/>
    <w:rsid w:val="001C335D"/>
    <w:rsid w:val="001D4FC6"/>
    <w:rsid w:val="001F4BD6"/>
    <w:rsid w:val="001F53C5"/>
    <w:rsid w:val="00214C58"/>
    <w:rsid w:val="0021595F"/>
    <w:rsid w:val="002333AA"/>
    <w:rsid w:val="002B5237"/>
    <w:rsid w:val="002E602B"/>
    <w:rsid w:val="00304984"/>
    <w:rsid w:val="00324604"/>
    <w:rsid w:val="00391D60"/>
    <w:rsid w:val="003B226E"/>
    <w:rsid w:val="003E2595"/>
    <w:rsid w:val="00406720"/>
    <w:rsid w:val="00446FAB"/>
    <w:rsid w:val="00455426"/>
    <w:rsid w:val="004A6D3F"/>
    <w:rsid w:val="005024A6"/>
    <w:rsid w:val="00511558"/>
    <w:rsid w:val="00524AF7"/>
    <w:rsid w:val="00590596"/>
    <w:rsid w:val="005C7D12"/>
    <w:rsid w:val="005D0DDA"/>
    <w:rsid w:val="005E672F"/>
    <w:rsid w:val="005F3C48"/>
    <w:rsid w:val="006E79BB"/>
    <w:rsid w:val="007115E9"/>
    <w:rsid w:val="00740DA5"/>
    <w:rsid w:val="007469ED"/>
    <w:rsid w:val="007570CE"/>
    <w:rsid w:val="007904EE"/>
    <w:rsid w:val="007D66AC"/>
    <w:rsid w:val="007D7004"/>
    <w:rsid w:val="007F55DD"/>
    <w:rsid w:val="00842C49"/>
    <w:rsid w:val="008619D1"/>
    <w:rsid w:val="00877026"/>
    <w:rsid w:val="00890AC8"/>
    <w:rsid w:val="008A7E9C"/>
    <w:rsid w:val="008B0385"/>
    <w:rsid w:val="008B3E02"/>
    <w:rsid w:val="008C55AE"/>
    <w:rsid w:val="008D7D48"/>
    <w:rsid w:val="008F425D"/>
    <w:rsid w:val="00955E6E"/>
    <w:rsid w:val="009C28D8"/>
    <w:rsid w:val="009E2F9E"/>
    <w:rsid w:val="00A03C43"/>
    <w:rsid w:val="00A15D4B"/>
    <w:rsid w:val="00A36E0A"/>
    <w:rsid w:val="00A37AFF"/>
    <w:rsid w:val="00A632E2"/>
    <w:rsid w:val="00A71379"/>
    <w:rsid w:val="00A715CC"/>
    <w:rsid w:val="00A84935"/>
    <w:rsid w:val="00AB55C1"/>
    <w:rsid w:val="00B23A97"/>
    <w:rsid w:val="00B409DE"/>
    <w:rsid w:val="00B563E8"/>
    <w:rsid w:val="00B80C67"/>
    <w:rsid w:val="00B81126"/>
    <w:rsid w:val="00B842F6"/>
    <w:rsid w:val="00B96A8C"/>
    <w:rsid w:val="00BC22BC"/>
    <w:rsid w:val="00C07190"/>
    <w:rsid w:val="00C35DED"/>
    <w:rsid w:val="00C405E0"/>
    <w:rsid w:val="00C54126"/>
    <w:rsid w:val="00C9290A"/>
    <w:rsid w:val="00CD7E19"/>
    <w:rsid w:val="00CE28A3"/>
    <w:rsid w:val="00CF6944"/>
    <w:rsid w:val="00D64EC0"/>
    <w:rsid w:val="00D66B9D"/>
    <w:rsid w:val="00D80401"/>
    <w:rsid w:val="00DC26C7"/>
    <w:rsid w:val="00DF46DC"/>
    <w:rsid w:val="00E17EBC"/>
    <w:rsid w:val="00E264F3"/>
    <w:rsid w:val="00E31042"/>
    <w:rsid w:val="00E70B1F"/>
    <w:rsid w:val="00E96B12"/>
    <w:rsid w:val="00EF0A99"/>
    <w:rsid w:val="00F01115"/>
    <w:rsid w:val="00F01275"/>
    <w:rsid w:val="00F76B8A"/>
    <w:rsid w:val="00FF5D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2094769"/>
  <w15:chartTrackingRefBased/>
  <w15:docId w15:val="{A5EAFAD6-870A-4565-9E67-AF0B84D48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zh-CN"/>
    </w:rPr>
  </w:style>
  <w:style w:type="paragraph" w:styleId="Ttulo1">
    <w:name w:val="heading 1"/>
    <w:basedOn w:val="Normal"/>
    <w:next w:val="Normal"/>
    <w:qFormat/>
    <w:pPr>
      <w:keepNext/>
      <w:numPr>
        <w:numId w:val="1"/>
      </w:numPr>
      <w:jc w:val="both"/>
      <w:outlineLvl w:val="0"/>
    </w:pPr>
    <w:rPr>
      <w:b/>
      <w:bCs/>
      <w:lang w:val="en-US"/>
    </w:rPr>
  </w:style>
  <w:style w:type="paragraph" w:styleId="Ttulo2">
    <w:name w:val="heading 2"/>
    <w:basedOn w:val="Normal"/>
    <w:next w:val="Normal"/>
    <w:qFormat/>
    <w:pPr>
      <w:keepNext/>
      <w:numPr>
        <w:ilvl w:val="1"/>
        <w:numId w:val="1"/>
      </w:numPr>
      <w:jc w:val="center"/>
      <w:outlineLvl w:val="1"/>
    </w:pPr>
    <w:rPr>
      <w:b/>
      <w:bCs/>
    </w:rPr>
  </w:style>
  <w:style w:type="paragraph" w:styleId="Ttulo3">
    <w:name w:val="heading 3"/>
    <w:basedOn w:val="Normal"/>
    <w:next w:val="Normal"/>
    <w:qFormat/>
    <w:pPr>
      <w:keepNext/>
      <w:numPr>
        <w:ilvl w:val="2"/>
        <w:numId w:val="1"/>
      </w:numPr>
      <w:ind w:left="720"/>
      <w:jc w:val="both"/>
      <w:outlineLvl w:val="2"/>
    </w:pPr>
    <w:rPr>
      <w:b/>
      <w:bCs/>
    </w:rPr>
  </w:style>
  <w:style w:type="paragraph" w:styleId="Ttulo4">
    <w:name w:val="heading 4"/>
    <w:basedOn w:val="Normal"/>
    <w:next w:val="Normal"/>
    <w:qFormat/>
    <w:pPr>
      <w:keepNext/>
      <w:numPr>
        <w:ilvl w:val="3"/>
        <w:numId w:val="1"/>
      </w:numPr>
      <w:jc w:val="both"/>
      <w:outlineLvl w:val="3"/>
    </w:pPr>
    <w:rPr>
      <w:b/>
      <w:bCs/>
    </w:rPr>
  </w:style>
  <w:style w:type="paragraph" w:styleId="Ttulo5">
    <w:name w:val="heading 5"/>
    <w:basedOn w:val="Normal"/>
    <w:next w:val="Normal"/>
    <w:qFormat/>
    <w:pPr>
      <w:keepNext/>
      <w:numPr>
        <w:ilvl w:val="4"/>
        <w:numId w:val="1"/>
      </w:numPr>
      <w:outlineLvl w:val="4"/>
    </w:pPr>
    <w:rPr>
      <w:rFonts w:ascii="Arial" w:hAnsi="Arial" w:cs="Arial"/>
      <w:b/>
      <w:bCs/>
      <w:szCs w:val="16"/>
    </w:rPr>
  </w:style>
  <w:style w:type="paragraph" w:styleId="Ttulo6">
    <w:name w:val="heading 6"/>
    <w:basedOn w:val="Captulo"/>
    <w:next w:val="Corpodetexto"/>
    <w:qFormat/>
    <w:pPr>
      <w:numPr>
        <w:ilvl w:val="5"/>
        <w:numId w:val="1"/>
      </w:numPr>
      <w:outlineLvl w:val="5"/>
    </w:pPr>
    <w:rPr>
      <w:b/>
      <w:bCs/>
      <w:sz w:val="21"/>
      <w:szCs w:val="21"/>
    </w:rPr>
  </w:style>
  <w:style w:type="paragraph" w:styleId="Ttulo7">
    <w:name w:val="heading 7"/>
    <w:basedOn w:val="Captulo"/>
    <w:next w:val="Corpodetexto"/>
    <w:qFormat/>
    <w:pPr>
      <w:numPr>
        <w:ilvl w:val="6"/>
        <w:numId w:val="1"/>
      </w:numPr>
      <w:outlineLvl w:val="6"/>
    </w:pPr>
    <w:rPr>
      <w:b/>
      <w:bCs/>
      <w:sz w:val="21"/>
      <w:szCs w:val="21"/>
    </w:rPr>
  </w:style>
  <w:style w:type="paragraph" w:styleId="Ttulo8">
    <w:name w:val="heading 8"/>
    <w:basedOn w:val="Captulo"/>
    <w:next w:val="Corpodetexto"/>
    <w:qFormat/>
    <w:pPr>
      <w:numPr>
        <w:ilvl w:val="7"/>
        <w:numId w:val="1"/>
      </w:numPr>
      <w:outlineLvl w:val="7"/>
    </w:pPr>
    <w:rPr>
      <w:b/>
      <w:bCs/>
      <w:sz w:val="21"/>
      <w:szCs w:val="21"/>
    </w:rPr>
  </w:style>
  <w:style w:type="paragraph" w:styleId="Ttulo9">
    <w:name w:val="heading 9"/>
    <w:basedOn w:val="Captulo"/>
    <w:next w:val="Corpodetexto"/>
    <w:qFormat/>
    <w:pPr>
      <w:numPr>
        <w:ilvl w:val="8"/>
        <w:numId w:val="1"/>
      </w:numPr>
      <w:outlineLvl w:val="8"/>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Wingdings" w:hAnsi="Wingdings" w:cs="Wingdings"/>
    </w:rPr>
  </w:style>
  <w:style w:type="character" w:customStyle="1" w:styleId="WW8Num1z1">
    <w:name w:val="WW8Num1z1"/>
  </w:style>
  <w:style w:type="character" w:customStyle="1" w:styleId="WW8Num1z2">
    <w:name w:val="WW8Num1z2"/>
  </w:style>
  <w:style w:type="character" w:customStyle="1" w:styleId="WW8Num1z3">
    <w:name w:val="WW8Num1z3"/>
    <w:rPr>
      <w:rFonts w:ascii="Symbol" w:hAnsi="Symbol" w:cs="Symbol"/>
    </w:rPr>
  </w:style>
  <w:style w:type="character" w:customStyle="1" w:styleId="WW8Num1z4">
    <w:name w:val="WW8Num1z4"/>
    <w:rPr>
      <w:rFonts w:ascii="Courier New" w:hAnsi="Courier New" w:cs="Courier New"/>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ontepargpadro2">
    <w:name w:val="Fonte parág. padrão2"/>
  </w:style>
  <w:style w:type="character" w:customStyle="1" w:styleId="Absatz-Standardschriftart">
    <w:name w:val="Absatz-Standardschriftart"/>
  </w:style>
  <w:style w:type="character" w:customStyle="1" w:styleId="Fontepargpadro1">
    <w:name w:val="Fonte parág. padrão1"/>
  </w:style>
  <w:style w:type="character" w:customStyle="1" w:styleId="CaracteresdeNotadeRodap">
    <w:name w:val="Caracteres de Nota de Rodapé"/>
    <w:rPr>
      <w:vertAlign w:val="superscript"/>
    </w:rPr>
  </w:style>
  <w:style w:type="character" w:styleId="Hyperlink">
    <w:name w:val="Hyperlink"/>
    <w:rPr>
      <w:color w:val="0000FF"/>
      <w:u w:val="single"/>
    </w:rPr>
  </w:style>
  <w:style w:type="character" w:styleId="HiperlinkVisitado">
    <w:name w:val="FollowedHyperlink"/>
    <w:rPr>
      <w:color w:val="800000"/>
      <w:u w:val="single"/>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CabealhoChar">
    <w:name w:val="Cabeçalho Char"/>
    <w:rPr>
      <w:sz w:val="24"/>
      <w:szCs w:val="24"/>
    </w:rPr>
  </w:style>
  <w:style w:type="character" w:customStyle="1" w:styleId="Corpodetexto3Char">
    <w:name w:val="Corpo de texto 3 Char"/>
    <w:rPr>
      <w:sz w:val="16"/>
      <w:szCs w:val="16"/>
    </w:rPr>
  </w:style>
  <w:style w:type="character" w:customStyle="1" w:styleId="Recuodecorpodetexto2Char">
    <w:name w:val="Recuo de corpo de texto 2 Char"/>
    <w:rPr>
      <w:sz w:val="24"/>
      <w:szCs w:val="24"/>
    </w:rPr>
  </w:style>
  <w:style w:type="character" w:customStyle="1" w:styleId="TextodenotadefimChar">
    <w:name w:val="Texto de nota de fim Char"/>
  </w:style>
  <w:style w:type="character" w:customStyle="1" w:styleId="Caracteresdenotadefim">
    <w:name w:val="Caracteres de nota de fim"/>
    <w:rPr>
      <w:vertAlign w:val="superscript"/>
    </w:rPr>
  </w:style>
  <w:style w:type="character" w:customStyle="1" w:styleId="RodapChar">
    <w:name w:val="Rodapé Char"/>
    <w:uiPriority w:val="99"/>
    <w:rPr>
      <w:sz w:val="24"/>
      <w:szCs w:val="24"/>
    </w:rPr>
  </w:style>
  <w:style w:type="character" w:customStyle="1" w:styleId="TextodebaloChar">
    <w:name w:val="Texto de balão Char"/>
    <w:rPr>
      <w:rFonts w:ascii="Tahoma" w:hAnsi="Tahoma" w:cs="Tahoma"/>
      <w:sz w:val="16"/>
      <w:szCs w:val="16"/>
    </w:rPr>
  </w:style>
  <w:style w:type="paragraph" w:customStyle="1" w:styleId="Ttulo10">
    <w:name w:val="Título1"/>
    <w:basedOn w:val="Normal"/>
    <w:next w:val="Corpodetexto"/>
    <w:pPr>
      <w:keepNext/>
      <w:spacing w:before="240" w:after="120"/>
    </w:pPr>
    <w:rPr>
      <w:rFonts w:ascii="Arial" w:eastAsia="Microsoft YaHei" w:hAnsi="Arial" w:cs="Mangal"/>
      <w:sz w:val="28"/>
      <w:szCs w:val="28"/>
    </w:rPr>
  </w:style>
  <w:style w:type="paragraph" w:styleId="Corpodetexto">
    <w:name w:val="Body Text"/>
    <w:basedOn w:val="Normal"/>
    <w:rPr>
      <w:sz w:val="28"/>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Tahoma"/>
    </w:rPr>
  </w:style>
  <w:style w:type="paragraph" w:customStyle="1" w:styleId="Captulo">
    <w:name w:val="Capítulo"/>
    <w:basedOn w:val="Normal"/>
    <w:next w:val="Corpodetexto"/>
    <w:pPr>
      <w:keepNext/>
      <w:spacing w:before="240" w:after="120"/>
    </w:pPr>
    <w:rPr>
      <w:rFonts w:ascii="Arial" w:eastAsia="Lucida Sans Unicode" w:hAnsi="Arial" w:cs="Tahoma"/>
      <w:sz w:val="28"/>
      <w:szCs w:val="28"/>
    </w:rPr>
  </w:style>
  <w:style w:type="paragraph" w:customStyle="1" w:styleId="Legenda1">
    <w:name w:val="Legenda1"/>
    <w:basedOn w:val="Normal"/>
    <w:pPr>
      <w:suppressLineNumbers/>
      <w:spacing w:before="120" w:after="120"/>
    </w:pPr>
    <w:rPr>
      <w:rFonts w:cs="Tahoma"/>
      <w:i/>
      <w:iCs/>
    </w:rPr>
  </w:style>
  <w:style w:type="paragraph" w:styleId="Recuodecorpodetexto">
    <w:name w:val="Body Text Indent"/>
    <w:basedOn w:val="Normal"/>
    <w:pPr>
      <w:ind w:left="360"/>
      <w:jc w:val="both"/>
    </w:pPr>
  </w:style>
  <w:style w:type="paragraph" w:styleId="Cabealho">
    <w:name w:val="header"/>
    <w:basedOn w:val="Normal"/>
    <w:pPr>
      <w:tabs>
        <w:tab w:val="center" w:pos="4419"/>
        <w:tab w:val="right" w:pos="8838"/>
      </w:tabs>
    </w:pPr>
    <w:rPr>
      <w:lang w:val="x-none"/>
    </w:rPr>
  </w:style>
  <w:style w:type="paragraph" w:styleId="Rodap">
    <w:name w:val="footer"/>
    <w:basedOn w:val="Normal"/>
    <w:uiPriority w:val="99"/>
    <w:pPr>
      <w:tabs>
        <w:tab w:val="center" w:pos="4252"/>
        <w:tab w:val="right" w:pos="8504"/>
      </w:tabs>
    </w:pPr>
    <w:rPr>
      <w:lang w:val="x-none"/>
    </w:r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Contedodoquadro">
    <w:name w:val="Conteúdo do quadro"/>
    <w:basedOn w:val="Corpodetexto"/>
  </w:style>
  <w:style w:type="paragraph" w:styleId="Textodenotaderodap">
    <w:name w:val="footnote text"/>
    <w:basedOn w:val="Normal"/>
    <w:rPr>
      <w:sz w:val="20"/>
      <w:szCs w:val="20"/>
    </w:rPr>
  </w:style>
  <w:style w:type="paragraph" w:customStyle="1" w:styleId="Corpodetexto21">
    <w:name w:val="Corpo de texto 21"/>
    <w:basedOn w:val="Normal"/>
    <w:pPr>
      <w:spacing w:line="480" w:lineRule="auto"/>
      <w:jc w:val="both"/>
    </w:pPr>
    <w:rPr>
      <w:sz w:val="22"/>
    </w:rPr>
  </w:style>
  <w:style w:type="paragraph" w:customStyle="1" w:styleId="Recuodecorpodetexto31">
    <w:name w:val="Recuo de corpo de texto 31"/>
    <w:basedOn w:val="Normal"/>
    <w:pPr>
      <w:spacing w:line="360" w:lineRule="auto"/>
      <w:ind w:firstLine="709"/>
      <w:jc w:val="both"/>
    </w:pPr>
  </w:style>
  <w:style w:type="paragraph" w:customStyle="1" w:styleId="Commarcadores21">
    <w:name w:val="Com marcadores 21"/>
    <w:basedOn w:val="Normal"/>
    <w:rPr>
      <w:bCs/>
    </w:rPr>
  </w:style>
  <w:style w:type="paragraph" w:customStyle="1" w:styleId="Saudao1">
    <w:name w:val="Saudação1"/>
    <w:basedOn w:val="Normal"/>
    <w:next w:val="Normal"/>
  </w:style>
  <w:style w:type="paragraph" w:customStyle="1" w:styleId="style1">
    <w:name w:val="style1"/>
    <w:basedOn w:val="Normal"/>
    <w:pPr>
      <w:spacing w:before="280" w:after="280"/>
    </w:pPr>
  </w:style>
  <w:style w:type="paragraph" w:customStyle="1" w:styleId="texto">
    <w:name w:val="texto"/>
    <w:basedOn w:val="Normal"/>
    <w:pPr>
      <w:spacing w:before="120"/>
      <w:jc w:val="both"/>
    </w:pPr>
    <w:rPr>
      <w:rFonts w:ascii="Arial" w:hAnsi="Arial" w:cs="Arial"/>
      <w:szCs w:val="20"/>
    </w:rPr>
  </w:style>
  <w:style w:type="paragraph" w:customStyle="1" w:styleId="Corpodetexto31">
    <w:name w:val="Corpo de texto 31"/>
    <w:basedOn w:val="Normal"/>
    <w:pPr>
      <w:spacing w:after="120"/>
    </w:pPr>
    <w:rPr>
      <w:sz w:val="16"/>
      <w:szCs w:val="16"/>
      <w:lang w:val="x-none"/>
    </w:rPr>
  </w:style>
  <w:style w:type="paragraph" w:customStyle="1" w:styleId="Recuodecorpodetexto21">
    <w:name w:val="Recuo de corpo de texto 21"/>
    <w:basedOn w:val="Normal"/>
    <w:pPr>
      <w:spacing w:after="120" w:line="480" w:lineRule="auto"/>
      <w:ind w:left="283"/>
    </w:pPr>
    <w:rPr>
      <w:lang w:val="x-none"/>
    </w:rPr>
  </w:style>
  <w:style w:type="paragraph" w:styleId="Textodenotadefim">
    <w:name w:val="endnote text"/>
    <w:basedOn w:val="Normal"/>
    <w:rPr>
      <w:sz w:val="20"/>
      <w:szCs w:val="20"/>
      <w:lang w:val="x-none"/>
    </w:rPr>
  </w:style>
  <w:style w:type="paragraph" w:styleId="Textodebalo">
    <w:name w:val="Balloon Text"/>
    <w:basedOn w:val="Normal"/>
    <w:rPr>
      <w:rFonts w:ascii="Tahoma" w:hAnsi="Tahoma" w:cs="Tahoma"/>
      <w:sz w:val="16"/>
      <w:szCs w:val="16"/>
      <w:lang w:val="x-none"/>
    </w:rPr>
  </w:style>
  <w:style w:type="paragraph" w:customStyle="1" w:styleId="Ttulodetabela">
    <w:name w:val="Título de tabela"/>
    <w:basedOn w:val="Contedodatabela"/>
    <w:pPr>
      <w:jc w:val="center"/>
    </w:pPr>
    <w:rPr>
      <w:b/>
      <w:bCs/>
    </w:rPr>
  </w:style>
  <w:style w:type="paragraph" w:customStyle="1" w:styleId="Default">
    <w:name w:val="Default"/>
    <w:rsid w:val="00BC22BC"/>
    <w:pPr>
      <w:autoSpaceDE w:val="0"/>
      <w:autoSpaceDN w:val="0"/>
      <w:adjustRightInd w:val="0"/>
    </w:pPr>
    <w:rPr>
      <w:rFonts w:ascii="Arial" w:hAnsi="Arial" w:cs="Arial"/>
      <w:color w:val="000000"/>
      <w:sz w:val="24"/>
      <w:szCs w:val="24"/>
    </w:rPr>
  </w:style>
  <w:style w:type="character" w:styleId="Refdecomentrio">
    <w:name w:val="annotation reference"/>
    <w:uiPriority w:val="99"/>
    <w:semiHidden/>
    <w:unhideWhenUsed/>
    <w:rsid w:val="00A715CC"/>
    <w:rPr>
      <w:sz w:val="16"/>
      <w:szCs w:val="16"/>
    </w:rPr>
  </w:style>
  <w:style w:type="paragraph" w:styleId="Textodecomentrio">
    <w:name w:val="annotation text"/>
    <w:basedOn w:val="Normal"/>
    <w:link w:val="TextodecomentrioChar"/>
    <w:uiPriority w:val="99"/>
    <w:semiHidden/>
    <w:unhideWhenUsed/>
    <w:rsid w:val="00A715CC"/>
    <w:rPr>
      <w:sz w:val="20"/>
      <w:szCs w:val="20"/>
    </w:rPr>
  </w:style>
  <w:style w:type="character" w:customStyle="1" w:styleId="TextodecomentrioChar">
    <w:name w:val="Texto de comentário Char"/>
    <w:link w:val="Textodecomentrio"/>
    <w:uiPriority w:val="99"/>
    <w:semiHidden/>
    <w:rsid w:val="00A715CC"/>
    <w:rPr>
      <w:lang w:eastAsia="zh-CN"/>
    </w:rPr>
  </w:style>
  <w:style w:type="paragraph" w:styleId="Assuntodocomentrio">
    <w:name w:val="annotation subject"/>
    <w:basedOn w:val="Textodecomentrio"/>
    <w:next w:val="Textodecomentrio"/>
    <w:link w:val="AssuntodocomentrioChar"/>
    <w:uiPriority w:val="99"/>
    <w:semiHidden/>
    <w:unhideWhenUsed/>
    <w:rsid w:val="00A715CC"/>
    <w:rPr>
      <w:b/>
      <w:bCs/>
    </w:rPr>
  </w:style>
  <w:style w:type="character" w:customStyle="1" w:styleId="AssuntodocomentrioChar">
    <w:name w:val="Assunto do comentário Char"/>
    <w:link w:val="Assuntodocomentrio"/>
    <w:uiPriority w:val="99"/>
    <w:semiHidden/>
    <w:rsid w:val="00A715CC"/>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59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wikipedia.org/wiki/Calc%C3%A1rio"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t.wikipedia.org/wiki/Aquecimento_globa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Di%C3%B3xido_de_carbon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t.wikipedia.org/wiki/Desmatamento" TargetMode="External"/><Relationship Id="rId4" Type="http://schemas.openxmlformats.org/officeDocument/2006/relationships/settings" Target="settings.xml"/><Relationship Id="rId9" Type="http://schemas.openxmlformats.org/officeDocument/2006/relationships/hyperlink" Target="https://pt.wikipedia.org/wiki/Ciment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70F6A-0E4D-4C19-85DB-88B586CBD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1869</Words>
  <Characters>10097</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Modelo Resumo Trabalho -  VI CBAgroecologia e II CLAgroecologia</vt:lpstr>
    </vt:vector>
  </TitlesOfParts>
  <Company>Microsoft</Company>
  <LinksUpToDate>false</LinksUpToDate>
  <CharactersWithSpaces>11943</CharactersWithSpaces>
  <SharedDoc>false</SharedDoc>
  <HLinks>
    <vt:vector size="30" baseType="variant">
      <vt:variant>
        <vt:i4>6684691</vt:i4>
      </vt:variant>
      <vt:variant>
        <vt:i4>12</vt:i4>
      </vt:variant>
      <vt:variant>
        <vt:i4>0</vt:i4>
      </vt:variant>
      <vt:variant>
        <vt:i4>5</vt:i4>
      </vt:variant>
      <vt:variant>
        <vt:lpwstr>https://pt.wikipedia.org/wiki/Aquecimento_global</vt:lpwstr>
      </vt:variant>
      <vt:variant>
        <vt:lpwstr/>
      </vt:variant>
      <vt:variant>
        <vt:i4>8060969</vt:i4>
      </vt:variant>
      <vt:variant>
        <vt:i4>9</vt:i4>
      </vt:variant>
      <vt:variant>
        <vt:i4>0</vt:i4>
      </vt:variant>
      <vt:variant>
        <vt:i4>5</vt:i4>
      </vt:variant>
      <vt:variant>
        <vt:lpwstr>https://pt.wikipedia.org/wiki/Di%C3%B3xido_de_carbono</vt:lpwstr>
      </vt:variant>
      <vt:variant>
        <vt:lpwstr/>
      </vt:variant>
      <vt:variant>
        <vt:i4>2556007</vt:i4>
      </vt:variant>
      <vt:variant>
        <vt:i4>6</vt:i4>
      </vt:variant>
      <vt:variant>
        <vt:i4>0</vt:i4>
      </vt:variant>
      <vt:variant>
        <vt:i4>5</vt:i4>
      </vt:variant>
      <vt:variant>
        <vt:lpwstr>https://pt.wikipedia.org/wiki/Desmatamento</vt:lpwstr>
      </vt:variant>
      <vt:variant>
        <vt:lpwstr/>
      </vt:variant>
      <vt:variant>
        <vt:i4>5177345</vt:i4>
      </vt:variant>
      <vt:variant>
        <vt:i4>3</vt:i4>
      </vt:variant>
      <vt:variant>
        <vt:i4>0</vt:i4>
      </vt:variant>
      <vt:variant>
        <vt:i4>5</vt:i4>
      </vt:variant>
      <vt:variant>
        <vt:lpwstr>https://pt.wikipedia.org/wiki/Cimento</vt:lpwstr>
      </vt:variant>
      <vt:variant>
        <vt:lpwstr/>
      </vt:variant>
      <vt:variant>
        <vt:i4>2818155</vt:i4>
      </vt:variant>
      <vt:variant>
        <vt:i4>0</vt:i4>
      </vt:variant>
      <vt:variant>
        <vt:i4>0</vt:i4>
      </vt:variant>
      <vt:variant>
        <vt:i4>5</vt:i4>
      </vt:variant>
      <vt:variant>
        <vt:lpwstr>https://pt.wikipedia.org/wiki/Calc%C3%A1rio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Resumo Trabalho -  VI CBAgroecologia e II CLAgroecologia</dc:title>
  <dc:subject/>
  <dc:creator>Reges</dc:creator>
  <cp:keywords/>
  <cp:lastModifiedBy>priscila viana</cp:lastModifiedBy>
  <cp:revision>2</cp:revision>
  <cp:lastPrinted>2009-03-17T14:57:00Z</cp:lastPrinted>
  <dcterms:created xsi:type="dcterms:W3CDTF">2020-09-06T03:10:00Z</dcterms:created>
  <dcterms:modified xsi:type="dcterms:W3CDTF">2020-09-06T03:10:00Z</dcterms:modified>
</cp:coreProperties>
</file>